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שמואל בר יוסף</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645AB0" w:rsidP="00645AB0">
                <w:pPr>
                  <w:bidi w:val="0"/>
                  <w:jc w:val="right"/>
                  <w:rPr>
                    <w:rFonts w:ascii="Arial" w:hAnsi="Arial"/>
                    <w:b/>
                    <w:bCs/>
                    <w:noProof w:val="0"/>
                    <w:sz w:val="26"/>
                    <w:szCs w:val="26"/>
                    <w:rtl/>
                  </w:rPr>
                </w:pPr>
                <w:r>
                  <w:rPr>
                    <w:rFonts w:ascii="Arial" w:hAnsi="Arial" w:hint="cs"/>
                    <w:b/>
                    <w:bCs/>
                    <w:noProof w:val="0"/>
                    <w:sz w:val="26"/>
                    <w:szCs w:val="26"/>
                    <w:rtl/>
                  </w:rPr>
                  <w:t>תובע</w:t>
                </w:r>
              </w:p>
            </w:tc>
          </w:sdtContent>
        </w:sdt>
        <w:tc>
          <w:tcPr>
            <w:tcW w:w="5571" w:type="dxa"/>
          </w:tcPr>
          <w:p w:rsidR="002914D6" w:rsidRPr="00645AB0" w:rsidRDefault="00FE07F1" w:rsidP="001570FB">
            <w:pPr>
              <w:rPr>
                <w:noProof w:val="0"/>
                <w:rtl/>
              </w:rPr>
            </w:pPr>
            <w:sdt>
              <w:sdtPr>
                <w:rPr>
                  <w:rFonts w:hint="cs"/>
                  <w:b/>
                  <w:bCs/>
                  <w:noProof w:val="0"/>
                  <w:sz w:val="26"/>
                  <w:szCs w:val="26"/>
                  <w:rtl/>
                </w:rPr>
                <w:alias w:val="1478"/>
                <w:tag w:val="1478"/>
                <w:id w:val="614022805"/>
                <w:text w:multiLine="1"/>
              </w:sdtPr>
              <w:sdtEndPr/>
              <w:sdtContent>
                <w:r w:rsidR="00BD5B6B">
                  <w:rPr>
                    <w:rStyle w:val="ac"/>
                    <w:b/>
                    <w:bCs/>
                    <w:color w:val="auto"/>
                    <w:rtl/>
                  </w:rPr>
                  <w:t>י</w:t>
                </w:r>
                <w:r w:rsidR="001570FB">
                  <w:rPr>
                    <w:rStyle w:val="ac"/>
                    <w:rFonts w:hint="cs"/>
                    <w:b/>
                    <w:bCs/>
                    <w:color w:val="auto"/>
                    <w:rtl/>
                  </w:rPr>
                  <w:t xml:space="preserve">.א.ו </w:t>
                </w:r>
              </w:sdtContent>
            </w:sdt>
            <w:sdt>
              <w:sdtPr>
                <w:rPr>
                  <w:rFonts w:hint="cs"/>
                  <w:b/>
                  <w:bCs/>
                  <w:noProof w:val="0"/>
                  <w:sz w:val="26"/>
                  <w:szCs w:val="26"/>
                  <w:rtl/>
                </w:rPr>
                <w:alias w:val="2316"/>
                <w:tag w:val="2316"/>
                <w:id w:val="1507024034"/>
                <w:showingPlcHdr/>
                <w:text w:multiLine="1"/>
              </w:sdtPr>
              <w:sdtEndPr/>
              <w:sdtContent>
                <w:r w:rsidR="001570FB">
                  <w:rPr>
                    <w:b/>
                    <w:bCs/>
                    <w:noProof w:val="0"/>
                    <w:sz w:val="26"/>
                    <w:szCs w:val="26"/>
                    <w:rtl/>
                  </w:rPr>
                  <w:t xml:space="preserve">     </w:t>
                </w:r>
              </w:sdtContent>
            </w:sdt>
          </w:p>
          <w:p w:rsidR="00645AB0" w:rsidRDefault="00645AB0" w:rsidP="00645AB0">
            <w:pPr>
              <w:rPr>
                <w:b/>
                <w:bCs/>
                <w:noProof w:val="0"/>
                <w:sz w:val="26"/>
                <w:szCs w:val="26"/>
              </w:rPr>
            </w:pPr>
            <w:r w:rsidRPr="00645AB0">
              <w:rPr>
                <w:rFonts w:hint="cs"/>
                <w:noProof w:val="0"/>
                <w:rtl/>
              </w:rPr>
              <w:t>ע"י עו"ד רוברט ליכט-פטרן</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FE07F1">
            <w:pPr>
              <w:rPr>
                <w:rFonts w:ascii="Arial" w:hAnsi="Arial"/>
                <w:b/>
                <w:bCs/>
                <w:noProof w:val="0"/>
                <w:sz w:val="26"/>
                <w:szCs w:val="26"/>
                <w:rtl/>
              </w:rPr>
            </w:pPr>
            <w:sdt>
              <w:sdtPr>
                <w:rPr>
                  <w:rtl/>
                </w:rPr>
                <w:alias w:val="1184"/>
                <w:tag w:val="1184"/>
                <w:id w:val="1218863978"/>
                <w:text w:multiLine="1"/>
              </w:sdtPr>
              <w:sdtEndPr/>
              <w:sdtContent>
                <w:r w:rsidR="00645AB0">
                  <w:rPr>
                    <w:rFonts w:ascii="Arial" w:hAnsi="Arial"/>
                    <w:b/>
                    <w:bCs/>
                    <w:noProof w:val="0"/>
                    <w:sz w:val="26"/>
                    <w:szCs w:val="26"/>
                    <w:rtl/>
                  </w:rPr>
                  <w:t>נתבע</w:t>
                </w:r>
                <w:r w:rsidR="00645AB0">
                  <w:rPr>
                    <w:rFonts w:ascii="Arial" w:hAnsi="Arial" w:hint="cs"/>
                    <w:b/>
                    <w:bCs/>
                    <w:noProof w:val="0"/>
                    <w:sz w:val="26"/>
                    <w:szCs w:val="26"/>
                    <w:rtl/>
                  </w:rPr>
                  <w:t>ת</w:t>
                </w:r>
              </w:sdtContent>
            </w:sdt>
          </w:p>
          <w:p w:rsidR="002914D6" w:rsidRDefault="002914D6" w:rsidP="00645AB0">
            <w:pPr>
              <w:rPr>
                <w:rFonts w:ascii="Arial" w:hAnsi="Arial"/>
                <w:b/>
                <w:bCs/>
                <w:noProof w:val="0"/>
                <w:sz w:val="26"/>
                <w:szCs w:val="26"/>
              </w:rPr>
            </w:pPr>
          </w:p>
        </w:tc>
        <w:tc>
          <w:tcPr>
            <w:tcW w:w="5571" w:type="dxa"/>
          </w:tcPr>
          <w:p w:rsidR="002914D6" w:rsidRDefault="00FE07F1" w:rsidP="001570FB">
            <w:pPr>
              <w:rPr>
                <w:b/>
                <w:bCs/>
                <w:noProof w:val="0"/>
                <w:sz w:val="26"/>
                <w:szCs w:val="26"/>
                <w:rtl/>
              </w:rPr>
            </w:pPr>
            <w:sdt>
              <w:sdtPr>
                <w:rPr>
                  <w:rFonts w:hint="cs"/>
                  <w:b/>
                  <w:bCs/>
                  <w:noProof w:val="0"/>
                  <w:sz w:val="26"/>
                  <w:szCs w:val="26"/>
                  <w:rtl/>
                </w:rPr>
                <w:alias w:val="1486"/>
                <w:tag w:val="1486"/>
                <w:id w:val="-1492704729"/>
                <w:text w:multiLine="1"/>
              </w:sdtPr>
              <w:sdtEndPr/>
              <w:sdtContent>
                <w:r w:rsidR="001570FB">
                  <w:rPr>
                    <w:rFonts w:hint="cs"/>
                    <w:b/>
                    <w:bCs/>
                    <w:noProof w:val="0"/>
                    <w:sz w:val="26"/>
                    <w:szCs w:val="26"/>
                    <w:rtl/>
                  </w:rPr>
                  <w:t xml:space="preserve">ק.צ.ו </w:t>
                </w:r>
              </w:sdtContent>
            </w:sdt>
            <w:sdt>
              <w:sdtPr>
                <w:rPr>
                  <w:b/>
                  <w:bCs/>
                  <w:noProof w:val="0"/>
                  <w:sz w:val="26"/>
                  <w:szCs w:val="26"/>
                  <w:rtl/>
                </w:rPr>
                <w:alias w:val="2318"/>
                <w:tag w:val="2318"/>
                <w:id w:val="-946693399"/>
                <w:showingPlcHdr/>
                <w:text w:multiLine="1"/>
              </w:sdtPr>
              <w:sdtEndPr/>
              <w:sdtContent>
                <w:r w:rsidR="001570FB">
                  <w:rPr>
                    <w:b/>
                    <w:bCs/>
                    <w:noProof w:val="0"/>
                    <w:sz w:val="26"/>
                    <w:szCs w:val="26"/>
                    <w:rtl/>
                  </w:rPr>
                  <w:t xml:space="preserve">     </w:t>
                </w:r>
              </w:sdtContent>
            </w:sdt>
          </w:p>
          <w:p w:rsidR="00645AB0" w:rsidRPr="00645AB0" w:rsidRDefault="00645AB0" w:rsidP="00645AB0">
            <w:pPr>
              <w:rPr>
                <w:noProof w:val="0"/>
                <w:sz w:val="26"/>
                <w:szCs w:val="26"/>
                <w:rtl/>
              </w:rPr>
            </w:pPr>
            <w:r w:rsidRPr="00645AB0">
              <w:rPr>
                <w:rFonts w:hint="cs"/>
                <w:noProof w:val="0"/>
                <w:rtl/>
              </w:rPr>
              <w:t>ע"י עו"ד דפנה זיס</w:t>
            </w:r>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Pr="00A24EC5" w:rsidRDefault="00F2166C">
      <w:pPr>
        <w:spacing w:line="360" w:lineRule="auto"/>
        <w:jc w:val="both"/>
        <w:rPr>
          <w:rFonts w:ascii="Miriam" w:hAnsi="Miriam" w:cs="Miriam"/>
          <w:b/>
          <w:bCs/>
          <w:noProof w:val="0"/>
          <w:rtl/>
        </w:rPr>
      </w:pPr>
      <w:r w:rsidRPr="00A24EC5">
        <w:rPr>
          <w:rFonts w:ascii="Miriam" w:hAnsi="Miriam" w:cs="Miriam"/>
          <w:b/>
          <w:bCs/>
          <w:noProof w:val="0"/>
          <w:rtl/>
        </w:rPr>
        <w:t>עובדות רלוונטיות</w:t>
      </w:r>
    </w:p>
    <w:p w:rsidR="002914D6" w:rsidRDefault="002914D6">
      <w:pPr>
        <w:spacing w:line="360" w:lineRule="auto"/>
        <w:jc w:val="both"/>
        <w:rPr>
          <w:rFonts w:ascii="Arial" w:hAnsi="Arial"/>
          <w:noProof w:val="0"/>
          <w:rtl/>
        </w:rPr>
      </w:pPr>
    </w:p>
    <w:p w:rsidR="00F2166C" w:rsidRPr="00683E8F" w:rsidRDefault="00261251" w:rsidP="006100ED">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sidRPr="00683E8F">
        <w:rPr>
          <w:rFonts w:ascii="FrankRuehl" w:hAnsi="FrankRuehl" w:cs="FrankRuehl" w:hint="cs"/>
          <w:noProof w:val="0"/>
          <w:sz w:val="26"/>
          <w:szCs w:val="26"/>
          <w:rtl/>
        </w:rPr>
        <w:t>התובע</w:t>
      </w:r>
      <w:r w:rsidR="000E1D92">
        <w:rPr>
          <w:rFonts w:ascii="FrankRuehl" w:hAnsi="FrankRuehl" w:cs="FrankRuehl" w:hint="cs"/>
          <w:noProof w:val="0"/>
          <w:sz w:val="26"/>
          <w:szCs w:val="26"/>
          <w:rtl/>
        </w:rPr>
        <w:t xml:space="preserve"> הוא</w:t>
      </w:r>
      <w:r w:rsidRPr="00683E8F">
        <w:rPr>
          <w:rFonts w:ascii="FrankRuehl" w:hAnsi="FrankRuehl" w:cs="FrankRuehl" w:hint="cs"/>
          <w:noProof w:val="0"/>
          <w:sz w:val="26"/>
          <w:szCs w:val="26"/>
          <w:rtl/>
        </w:rPr>
        <w:t xml:space="preserve"> </w:t>
      </w:r>
      <w:r w:rsidR="007D4AFB">
        <w:rPr>
          <w:rFonts w:ascii="FrankRuehl" w:hAnsi="FrankRuehl" w:cs="FrankRuehl" w:hint="cs"/>
          <w:noProof w:val="0"/>
          <w:sz w:val="26"/>
          <w:szCs w:val="26"/>
          <w:rtl/>
        </w:rPr>
        <w:t xml:space="preserve">אזרח ישראלי, </w:t>
      </w:r>
      <w:r w:rsidR="000E1D92">
        <w:rPr>
          <w:rFonts w:ascii="FrankRuehl" w:hAnsi="FrankRuehl" w:cs="FrankRuehl" w:hint="cs"/>
          <w:noProof w:val="0"/>
          <w:sz w:val="26"/>
          <w:szCs w:val="26"/>
          <w:rtl/>
        </w:rPr>
        <w:t xml:space="preserve">בעוד </w:t>
      </w:r>
      <w:r w:rsidR="007D4AFB">
        <w:rPr>
          <w:rFonts w:ascii="FrankRuehl" w:hAnsi="FrankRuehl" w:cs="FrankRuehl" w:hint="cs"/>
          <w:noProof w:val="0"/>
          <w:sz w:val="26"/>
          <w:szCs w:val="26"/>
          <w:rtl/>
        </w:rPr>
        <w:t>ה</w:t>
      </w:r>
      <w:r w:rsidR="00B84841" w:rsidRPr="00683E8F">
        <w:rPr>
          <w:rFonts w:ascii="FrankRuehl" w:hAnsi="FrankRuehl" w:cs="FrankRuehl" w:hint="cs"/>
          <w:noProof w:val="0"/>
          <w:sz w:val="26"/>
          <w:szCs w:val="26"/>
          <w:rtl/>
        </w:rPr>
        <w:t>נתבעת</w:t>
      </w:r>
      <w:r w:rsidR="000E1D92">
        <w:rPr>
          <w:rFonts w:ascii="FrankRuehl" w:hAnsi="FrankRuehl" w:cs="FrankRuehl" w:hint="cs"/>
          <w:noProof w:val="0"/>
          <w:sz w:val="26"/>
          <w:szCs w:val="26"/>
          <w:rtl/>
        </w:rPr>
        <w:t xml:space="preserve"> היא</w:t>
      </w:r>
      <w:r w:rsidR="007D4AFB">
        <w:rPr>
          <w:rFonts w:ascii="FrankRuehl" w:hAnsi="FrankRuehl" w:cs="FrankRuehl" w:hint="cs"/>
          <w:noProof w:val="0"/>
          <w:sz w:val="26"/>
          <w:szCs w:val="26"/>
          <w:rtl/>
        </w:rPr>
        <w:t xml:space="preserve"> </w:t>
      </w:r>
      <w:r w:rsidR="00B84841" w:rsidRPr="00683E8F">
        <w:rPr>
          <w:rFonts w:ascii="FrankRuehl" w:hAnsi="FrankRuehl" w:cs="FrankRuehl" w:hint="cs"/>
          <w:noProof w:val="0"/>
          <w:sz w:val="26"/>
          <w:szCs w:val="26"/>
          <w:rtl/>
        </w:rPr>
        <w:t>אזרחית סינית</w:t>
      </w:r>
      <w:r w:rsidR="000E1D92">
        <w:rPr>
          <w:rFonts w:ascii="FrankRuehl" w:hAnsi="FrankRuehl" w:cs="FrankRuehl" w:hint="cs"/>
          <w:noProof w:val="0"/>
          <w:sz w:val="26"/>
          <w:szCs w:val="26"/>
          <w:rtl/>
        </w:rPr>
        <w:t xml:space="preserve"> (ולימים גם אזרחית סינגפור). השניים</w:t>
      </w:r>
      <w:r w:rsidR="006100ED">
        <w:rPr>
          <w:rFonts w:ascii="FrankRuehl" w:hAnsi="FrankRuehl" w:cs="FrankRuehl" w:hint="cs"/>
          <w:noProof w:val="0"/>
          <w:sz w:val="26"/>
          <w:szCs w:val="26"/>
          <w:rtl/>
        </w:rPr>
        <w:t xml:space="preserve"> </w:t>
      </w:r>
      <w:r w:rsidR="007D4AFB" w:rsidRPr="00683E8F">
        <w:rPr>
          <w:rFonts w:ascii="FrankRuehl" w:hAnsi="FrankRuehl" w:cs="FrankRuehl" w:hint="cs"/>
          <w:noProof w:val="0"/>
          <w:sz w:val="26"/>
          <w:szCs w:val="26"/>
          <w:rtl/>
        </w:rPr>
        <w:t>הכיר</w:t>
      </w:r>
      <w:r w:rsidR="007D4AFB">
        <w:rPr>
          <w:rFonts w:ascii="FrankRuehl" w:hAnsi="FrankRuehl" w:cs="FrankRuehl" w:hint="cs"/>
          <w:noProof w:val="0"/>
          <w:sz w:val="26"/>
          <w:szCs w:val="26"/>
          <w:rtl/>
        </w:rPr>
        <w:t>ו</w:t>
      </w:r>
      <w:r w:rsidR="007D4AFB" w:rsidRPr="00683E8F">
        <w:rPr>
          <w:rFonts w:ascii="FrankRuehl" w:hAnsi="FrankRuehl" w:cs="FrankRuehl" w:hint="cs"/>
          <w:noProof w:val="0"/>
          <w:sz w:val="26"/>
          <w:szCs w:val="26"/>
          <w:rtl/>
        </w:rPr>
        <w:t xml:space="preserve"> </w:t>
      </w:r>
      <w:r w:rsidR="006100ED">
        <w:rPr>
          <w:rFonts w:ascii="FrankRuehl" w:hAnsi="FrankRuehl" w:cs="FrankRuehl" w:hint="cs"/>
          <w:noProof w:val="0"/>
          <w:sz w:val="26"/>
          <w:szCs w:val="26"/>
          <w:rtl/>
        </w:rPr>
        <w:t xml:space="preserve">בסינגפור </w:t>
      </w:r>
      <w:r w:rsidR="007D4AFB" w:rsidRPr="00683E8F">
        <w:rPr>
          <w:rFonts w:ascii="FrankRuehl" w:hAnsi="FrankRuehl" w:cs="FrankRuehl" w:hint="cs"/>
          <w:noProof w:val="0"/>
          <w:sz w:val="26"/>
          <w:szCs w:val="26"/>
          <w:rtl/>
        </w:rPr>
        <w:t>בשנת 2012</w:t>
      </w:r>
      <w:r w:rsidR="006100ED">
        <w:rPr>
          <w:rFonts w:ascii="FrankRuehl" w:hAnsi="FrankRuehl" w:cs="FrankRuehl" w:hint="cs"/>
          <w:noProof w:val="0"/>
          <w:sz w:val="26"/>
          <w:szCs w:val="26"/>
          <w:rtl/>
        </w:rPr>
        <w:t>, בעת לימודיהם לקראת תואר דוקטור</w:t>
      </w:r>
      <w:r w:rsidR="007D4AFB" w:rsidRPr="00683E8F">
        <w:rPr>
          <w:rFonts w:ascii="FrankRuehl" w:hAnsi="FrankRuehl" w:cs="FrankRuehl" w:hint="cs"/>
          <w:noProof w:val="0"/>
          <w:sz w:val="26"/>
          <w:szCs w:val="26"/>
          <w:rtl/>
        </w:rPr>
        <w:t xml:space="preserve">. </w:t>
      </w:r>
      <w:r w:rsidR="001D0764" w:rsidRPr="00683E8F">
        <w:rPr>
          <w:rFonts w:ascii="FrankRuehl" w:hAnsi="FrankRuehl" w:cs="FrankRuehl" w:hint="cs"/>
          <w:noProof w:val="0"/>
          <w:sz w:val="26"/>
          <w:szCs w:val="26"/>
          <w:rtl/>
        </w:rPr>
        <w:t>זמן קצר לאחר היכרותם התפ</w:t>
      </w:r>
      <w:r w:rsidR="00580621" w:rsidRPr="00683E8F">
        <w:rPr>
          <w:rFonts w:ascii="FrankRuehl" w:hAnsi="FrankRuehl" w:cs="FrankRuehl" w:hint="cs"/>
          <w:noProof w:val="0"/>
          <w:sz w:val="26"/>
          <w:szCs w:val="26"/>
          <w:rtl/>
        </w:rPr>
        <w:t>ת</w:t>
      </w:r>
      <w:r w:rsidR="001D0764" w:rsidRPr="00683E8F">
        <w:rPr>
          <w:rFonts w:ascii="FrankRuehl" w:hAnsi="FrankRuehl" w:cs="FrankRuehl" w:hint="cs"/>
          <w:noProof w:val="0"/>
          <w:sz w:val="26"/>
          <w:szCs w:val="26"/>
          <w:rtl/>
        </w:rPr>
        <w:t xml:space="preserve">חה בין הצדדים מערכת יחסים רומנטית, והם עברו להתגורר תחת קורת גג אחת. </w:t>
      </w:r>
    </w:p>
    <w:p w:rsidR="002914D6" w:rsidRDefault="00B84841" w:rsidP="00B55ED8">
      <w:pPr>
        <w:pStyle w:val="ad"/>
        <w:numPr>
          <w:ilvl w:val="0"/>
          <w:numId w:val="1"/>
        </w:numPr>
        <w:spacing w:after="240" w:line="360" w:lineRule="auto"/>
        <w:ind w:left="714" w:hanging="357"/>
        <w:contextualSpacing w:val="0"/>
        <w:jc w:val="both"/>
        <w:rPr>
          <w:rFonts w:ascii="Arial" w:hAnsi="Arial"/>
          <w:noProof w:val="0"/>
        </w:rPr>
      </w:pPr>
      <w:r w:rsidRPr="00CC28DF">
        <w:rPr>
          <w:rFonts w:ascii="FrankRuehl" w:hAnsi="FrankRuehl" w:cs="FrankRuehl" w:hint="cs"/>
          <w:noProof w:val="0"/>
          <w:sz w:val="26"/>
          <w:szCs w:val="26"/>
          <w:rtl/>
        </w:rPr>
        <w:t xml:space="preserve">ביום 5.3.2015 חתמו הצדדים על </w:t>
      </w:r>
      <w:r w:rsidR="00CC28DF" w:rsidRPr="00CC28DF">
        <w:rPr>
          <w:rFonts w:ascii="FrankRuehl" w:hAnsi="FrankRuehl" w:cs="FrankRuehl" w:hint="cs"/>
          <w:noProof w:val="0"/>
          <w:sz w:val="26"/>
          <w:szCs w:val="26"/>
          <w:rtl/>
        </w:rPr>
        <w:t>"</w:t>
      </w:r>
      <w:r w:rsidRPr="00CC28DF">
        <w:rPr>
          <w:rFonts w:ascii="FrankRuehl" w:hAnsi="FrankRuehl" w:cs="FrankRuehl" w:hint="cs"/>
          <w:b/>
          <w:bCs/>
          <w:noProof w:val="0"/>
          <w:sz w:val="26"/>
          <w:szCs w:val="26"/>
          <w:rtl/>
        </w:rPr>
        <w:t>הסכם</w:t>
      </w:r>
      <w:r w:rsidR="00CC28DF" w:rsidRPr="00CC28DF">
        <w:rPr>
          <w:rFonts w:ascii="FrankRuehl" w:hAnsi="FrankRuehl" w:cs="FrankRuehl" w:hint="cs"/>
          <w:b/>
          <w:bCs/>
          <w:noProof w:val="0"/>
          <w:sz w:val="26"/>
          <w:szCs w:val="26"/>
          <w:rtl/>
        </w:rPr>
        <w:t xml:space="preserve"> שותפות</w:t>
      </w:r>
      <w:r w:rsidR="00CC28DF" w:rsidRPr="00CC28DF">
        <w:rPr>
          <w:rFonts w:ascii="FrankRuehl" w:hAnsi="FrankRuehl" w:cs="FrankRuehl" w:hint="cs"/>
          <w:noProof w:val="0"/>
          <w:sz w:val="26"/>
          <w:szCs w:val="26"/>
          <w:rtl/>
        </w:rPr>
        <w:t>"</w:t>
      </w:r>
      <w:r w:rsidR="00CC28DF">
        <w:rPr>
          <w:rStyle w:val="af0"/>
          <w:rFonts w:ascii="FrankRuehl" w:hAnsi="FrankRuehl" w:cs="FrankRuehl"/>
          <w:noProof w:val="0"/>
          <w:sz w:val="26"/>
          <w:szCs w:val="26"/>
          <w:rtl/>
        </w:rPr>
        <w:footnoteReference w:id="1"/>
      </w:r>
      <w:r w:rsidR="00CC28DF" w:rsidRPr="00CC28DF">
        <w:rPr>
          <w:rFonts w:ascii="FrankRuehl" w:hAnsi="FrankRuehl" w:cs="FrankRuehl" w:hint="cs"/>
          <w:noProof w:val="0"/>
          <w:sz w:val="26"/>
          <w:szCs w:val="26"/>
          <w:rtl/>
        </w:rPr>
        <w:t xml:space="preserve"> (נספח 1 לתצהיר התובע, להלן: </w:t>
      </w:r>
      <w:r w:rsidR="00CC28DF" w:rsidRPr="00CC28DF">
        <w:rPr>
          <w:rFonts w:asciiTheme="minorBidi" w:hAnsiTheme="minorBidi" w:cstheme="minorBidi"/>
          <w:noProof w:val="0"/>
          <w:rtl/>
        </w:rPr>
        <w:t>ההסכם</w:t>
      </w:r>
      <w:r w:rsidR="00CC28DF" w:rsidRPr="00CC28DF">
        <w:rPr>
          <w:rFonts w:ascii="FrankRuehl" w:hAnsi="FrankRuehl" w:cs="FrankRuehl" w:hint="cs"/>
          <w:noProof w:val="0"/>
          <w:sz w:val="26"/>
          <w:szCs w:val="26"/>
          <w:rtl/>
        </w:rPr>
        <w:t>)</w:t>
      </w:r>
      <w:r w:rsidR="00CC28DF">
        <w:rPr>
          <w:rFonts w:ascii="FrankRuehl" w:hAnsi="FrankRuehl" w:cs="FrankRuehl" w:hint="cs"/>
          <w:noProof w:val="0"/>
          <w:sz w:val="26"/>
          <w:szCs w:val="26"/>
          <w:rtl/>
        </w:rPr>
        <w:t xml:space="preserve">. </w:t>
      </w:r>
      <w:r w:rsidR="00B55ED8">
        <w:rPr>
          <w:rFonts w:ascii="FrankRuehl" w:hAnsi="FrankRuehl" w:cs="FrankRuehl" w:hint="cs"/>
          <w:noProof w:val="0"/>
          <w:sz w:val="26"/>
          <w:szCs w:val="26"/>
          <w:rtl/>
        </w:rPr>
        <w:t>בחלקו הרלוונטי יותר של ההסכם נכתב</w:t>
      </w:r>
      <w:r w:rsidR="00B55ED8">
        <w:rPr>
          <w:rStyle w:val="af0"/>
          <w:rFonts w:ascii="FrankRuehl" w:hAnsi="FrankRuehl" w:cs="FrankRuehl"/>
          <w:noProof w:val="0"/>
          <w:sz w:val="26"/>
          <w:szCs w:val="26"/>
          <w:rtl/>
        </w:rPr>
        <w:footnoteReference w:id="2"/>
      </w:r>
      <w:r w:rsidR="00B55ED8">
        <w:rPr>
          <w:rFonts w:ascii="FrankRuehl" w:hAnsi="FrankRuehl" w:cs="FrankRuehl" w:hint="cs"/>
          <w:noProof w:val="0"/>
          <w:sz w:val="26"/>
          <w:szCs w:val="26"/>
          <w:rtl/>
        </w:rPr>
        <w:t>:</w:t>
      </w:r>
      <w:r w:rsidR="00CC28DF" w:rsidRPr="00CC28DF">
        <w:rPr>
          <w:rFonts w:ascii="FrankRuehl" w:hAnsi="FrankRuehl" w:cs="FrankRuehl" w:hint="cs"/>
          <w:noProof w:val="0"/>
          <w:sz w:val="26"/>
          <w:szCs w:val="26"/>
          <w:rtl/>
        </w:rPr>
        <w:t xml:space="preserve"> </w:t>
      </w:r>
    </w:p>
    <w:p w:rsidR="00A007E4" w:rsidRDefault="00A007E4" w:rsidP="00A007E4">
      <w:pPr>
        <w:spacing w:after="240" w:line="360" w:lineRule="auto"/>
        <w:jc w:val="both"/>
        <w:rPr>
          <w:rFonts w:ascii="Arial" w:hAnsi="Arial"/>
          <w:noProof w:val="0"/>
          <w:rtl/>
        </w:rPr>
      </w:pPr>
      <w:r>
        <w:drawing>
          <wp:inline distT="0" distB="0" distL="0" distR="0" wp14:anchorId="6BBA0B9B" wp14:editId="70BDF600">
            <wp:extent cx="5388767" cy="2085975"/>
            <wp:effectExtent l="0" t="0" r="2540" b="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9497" t="39698" r="29889" b="16995"/>
                    <a:stretch/>
                  </pic:blipFill>
                  <pic:spPr bwMode="auto">
                    <a:xfrm>
                      <a:off x="0" y="0"/>
                      <a:ext cx="5405610" cy="2092495"/>
                    </a:xfrm>
                    <a:prstGeom prst="rect">
                      <a:avLst/>
                    </a:prstGeom>
                    <a:ln>
                      <a:noFill/>
                    </a:ln>
                    <a:extLst>
                      <a:ext uri="{53640926-AAD7-44D8-BBD7-CCE9431645EC}">
                        <a14:shadowObscured xmlns:a14="http://schemas.microsoft.com/office/drawing/2010/main"/>
                      </a:ext>
                    </a:extLst>
                  </pic:spPr>
                </pic:pic>
              </a:graphicData>
            </a:graphic>
          </wp:inline>
        </w:drawing>
      </w:r>
    </w:p>
    <w:p w:rsidR="00A007E4" w:rsidRDefault="00A007E4" w:rsidP="00A007E4">
      <w:pPr>
        <w:spacing w:after="240" w:line="360" w:lineRule="auto"/>
        <w:jc w:val="both"/>
        <w:rPr>
          <w:rFonts w:ascii="Arial" w:hAnsi="Arial"/>
          <w:noProof w:val="0"/>
          <w:rtl/>
        </w:rPr>
      </w:pPr>
    </w:p>
    <w:p w:rsidR="00A007E4" w:rsidRDefault="00A007E4" w:rsidP="00A007E4">
      <w:pPr>
        <w:spacing w:after="240" w:line="360" w:lineRule="auto"/>
        <w:jc w:val="both"/>
        <w:rPr>
          <w:rFonts w:ascii="Arial" w:hAnsi="Arial"/>
          <w:noProof w:val="0"/>
          <w:rtl/>
        </w:rPr>
      </w:pPr>
    </w:p>
    <w:p w:rsidR="00A007E4" w:rsidRDefault="00594005" w:rsidP="00A007E4">
      <w:pPr>
        <w:spacing w:after="240" w:line="360" w:lineRule="auto"/>
        <w:jc w:val="both"/>
        <w:rPr>
          <w:rFonts w:ascii="Arial" w:hAnsi="Arial"/>
          <w:noProof w:val="0"/>
          <w:rtl/>
        </w:rPr>
      </w:pPr>
      <w:r>
        <w:lastRenderedPageBreak/>
        <w:drawing>
          <wp:inline distT="0" distB="0" distL="0" distR="0" wp14:anchorId="29DFB405" wp14:editId="2590BF42">
            <wp:extent cx="5396037" cy="5191125"/>
            <wp:effectExtent l="0" t="0" r="0" b="0"/>
            <wp:docPr id="16" name="תמונה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9277" t="22585" r="28924" b="5898"/>
                    <a:stretch/>
                  </pic:blipFill>
                  <pic:spPr bwMode="auto">
                    <a:xfrm>
                      <a:off x="0" y="0"/>
                      <a:ext cx="5410407" cy="5204949"/>
                    </a:xfrm>
                    <a:prstGeom prst="rect">
                      <a:avLst/>
                    </a:prstGeom>
                    <a:ln>
                      <a:noFill/>
                    </a:ln>
                    <a:extLst>
                      <a:ext uri="{53640926-AAD7-44D8-BBD7-CCE9431645EC}">
                        <a14:shadowObscured xmlns:a14="http://schemas.microsoft.com/office/drawing/2010/main"/>
                      </a:ext>
                    </a:extLst>
                  </pic:spPr>
                </pic:pic>
              </a:graphicData>
            </a:graphic>
          </wp:inline>
        </w:drawing>
      </w:r>
    </w:p>
    <w:p w:rsidR="00B55ED8" w:rsidRDefault="00594005" w:rsidP="00594005">
      <w:pPr>
        <w:spacing w:line="360" w:lineRule="auto"/>
        <w:jc w:val="both"/>
        <w:rPr>
          <w:rFonts w:ascii="Arial" w:hAnsi="Arial"/>
          <w:noProof w:val="0"/>
          <w:rtl/>
        </w:rPr>
      </w:pPr>
      <w:r>
        <w:rPr>
          <w:rFonts w:ascii="Arial" w:hAnsi="Arial"/>
          <w:rtl/>
        </w:rPr>
        <mc:AlternateContent>
          <mc:Choice Requires="wps">
            <w:drawing>
              <wp:anchor distT="0" distB="0" distL="114300" distR="114300" simplePos="0" relativeHeight="251665408" behindDoc="0" locked="0" layoutInCell="1" allowOverlap="1" wp14:anchorId="3CCDB497" wp14:editId="3A95D03C">
                <wp:simplePos x="0" y="0"/>
                <wp:positionH relativeFrom="column">
                  <wp:posOffset>1701165</wp:posOffset>
                </wp:positionH>
                <wp:positionV relativeFrom="paragraph">
                  <wp:posOffset>3538855</wp:posOffset>
                </wp:positionV>
                <wp:extent cx="390525" cy="104775"/>
                <wp:effectExtent l="0" t="0" r="28575" b="28575"/>
                <wp:wrapNone/>
                <wp:docPr id="15" name="מלבן 15"/>
                <wp:cNvGraphicFramePr/>
                <a:graphic xmlns:a="http://schemas.openxmlformats.org/drawingml/2006/main">
                  <a:graphicData uri="http://schemas.microsoft.com/office/word/2010/wordprocessingShape">
                    <wps:wsp>
                      <wps:cNvSpPr/>
                      <wps:spPr>
                        <a:xfrm>
                          <a:off x="0" y="0"/>
                          <a:ext cx="390525" cy="104775"/>
                        </a:xfrm>
                        <a:prstGeom prst="rect">
                          <a:avLst/>
                        </a:prstGeom>
                        <a:solidFill>
                          <a:sysClr val="windowText" lastClr="00000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8DFDA7" id="מלבן 15" o:spid="_x0000_s1026" style="position:absolute;left:0;text-align:left;margin-left:133.95pt;margin-top:278.65pt;width:30.75pt;height: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zkYiQIAAA8FAAAOAAAAZHJzL2Uyb0RvYy54bWysVMtuEzEU3SPxD5b3dCYhoW3USRUaBSFV&#10;tFKLunY8nsxIfmE7mYS/YI/gs/I7HHsm6YsVIouJr+/73HN9cblVkmyE843RBR2c5JQIzU3Z6FVB&#10;v94v3p1R4gPTJZNGi4LuhKeX07dvLlo7EUNTG1kKRxBE+0lrC1qHYCdZ5nktFPMnxgoNZWWcYgGi&#10;W2WlYy2iK5kN8/xD1hpXWme48B63805Jpyl+VQkebqrKi0BkQVFbSF+Xvsv4zaYXbLJyzNYN78tg&#10;/1CFYo1G0mOoOQuMrF3zKpRquDPeVOGEG5WZqmq4SD2gm0H+opu7mlmRegE43h5h8v8vLP+yuXWk&#10;KTG7MSWaKcxo/2v/c/9j/5vgCvi01k9gdmdvXS95HGOz28qp+I82yDZhujtiKraBcFy+P8/HQ4Tm&#10;UA3y0elpipk9OlvnwydhFImHgjqMLCHJNtc+ICFMDyYxlzeyKReNlEnY+SvpyIZhuiBFadp75KVE&#10;Mh+gQDHpF7tAmGeuUpO2oMPxKActOAP1KsngypUFGF6vKGFyBU7z4FI9z7y9Wy2PmUeLs8HHeWdU&#10;s1J09Yxj6kPmzvx1FbGzOfN155JS9C5SxwZFonAPRBxEB308LU25w+ic6TjtLV80iHaN1m+ZA4nR&#10;FxYz3OBTSYNmTX+ipDbu+9/uoz24BS0lLZYCQHxbMyeA6GcN1p0PRqO4RUkYjU+HENxTzfKpRq/V&#10;lcFkBngCLE/HaB/k4bZyRj1gf2cxK1RMc+TuIO+Fq9AtK14ALmazZIbNsSxc6zvLY/CIU8TxfvvA&#10;nO1pFMCDL+awQGzygk2dbfTUZrYOpmoS1R5xxaiigK1LQ+tfiLjWT+Vk9fiOTf8AAAD//wMAUEsD&#10;BBQABgAIAAAAIQCRCwTB4AAAAAsBAAAPAAAAZHJzL2Rvd25yZXYueG1sTI/BToNAEIbvJr7DZky8&#10;2UWQQpGl0TbGk4eil962MAXS3VnCblt8e8eTHmfmzzffX65na8QFJz84UvC4iEAgNa4dqFPw9fn2&#10;kIPwQVOrjSNU8I0e1tXtTamL1l1ph5c6dIIh5AutoA9hLKT0TY9W+4Ubkfh2dJPVgcepk+2krwy3&#10;RsZRtJRWD8Qfej3ipsfmVJ+tgvijNt6E/H3zetpvMds1Pt3mSt3fzS/PIALO4S8Mv/qsDhU7HdyZ&#10;Wi8MM5bZiqMK0jRLQHAiiVdPIA68yZIcZFXK/x2qHwAAAP//AwBQSwECLQAUAAYACAAAACEAtoM4&#10;kv4AAADhAQAAEwAAAAAAAAAAAAAAAAAAAAAAW0NvbnRlbnRfVHlwZXNdLnhtbFBLAQItABQABgAI&#10;AAAAIQA4/SH/1gAAAJQBAAALAAAAAAAAAAAAAAAAAC8BAABfcmVscy8ucmVsc1BLAQItABQABgAI&#10;AAAAIQB8EzkYiQIAAA8FAAAOAAAAAAAAAAAAAAAAAC4CAABkcnMvZTJvRG9jLnhtbFBLAQItABQA&#10;BgAIAAAAIQCRCwTB4AAAAAsBAAAPAAAAAAAAAAAAAAAAAOMEAABkcnMvZG93bnJldi54bWxQSwUG&#10;AAAAAAQABADzAAAA8AUAAAAA&#10;" fillcolor="windowText" strokecolor="#385d8a" strokeweight="2pt"/>
            </w:pict>
          </mc:Fallback>
        </mc:AlternateContent>
      </w:r>
      <w:r>
        <w:rPr>
          <w:rFonts w:ascii="Arial" w:hAnsi="Arial"/>
          <w:rtl/>
        </w:rPr>
        <mc:AlternateContent>
          <mc:Choice Requires="wps">
            <w:drawing>
              <wp:anchor distT="0" distB="0" distL="114300" distR="114300" simplePos="0" relativeHeight="251663360" behindDoc="0" locked="0" layoutInCell="1" allowOverlap="1" wp14:anchorId="3CCDB497" wp14:editId="3A95D03C">
                <wp:simplePos x="0" y="0"/>
                <wp:positionH relativeFrom="column">
                  <wp:posOffset>3910965</wp:posOffset>
                </wp:positionH>
                <wp:positionV relativeFrom="paragraph">
                  <wp:posOffset>3519805</wp:posOffset>
                </wp:positionV>
                <wp:extent cx="285750" cy="95250"/>
                <wp:effectExtent l="0" t="0" r="19050" b="19050"/>
                <wp:wrapNone/>
                <wp:docPr id="14" name="מלבן 14"/>
                <wp:cNvGraphicFramePr/>
                <a:graphic xmlns:a="http://schemas.openxmlformats.org/drawingml/2006/main">
                  <a:graphicData uri="http://schemas.microsoft.com/office/word/2010/wordprocessingShape">
                    <wps:wsp>
                      <wps:cNvSpPr/>
                      <wps:spPr>
                        <a:xfrm>
                          <a:off x="0" y="0"/>
                          <a:ext cx="285750" cy="95250"/>
                        </a:xfrm>
                        <a:prstGeom prst="rect">
                          <a:avLst/>
                        </a:prstGeom>
                        <a:solidFill>
                          <a:sysClr val="windowText" lastClr="00000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8A1CBA" id="מלבן 14" o:spid="_x0000_s1026" style="position:absolute;left:0;text-align:left;margin-left:307.95pt;margin-top:277.15pt;width:22.5pt;height: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vjhwIAAA4FAAAOAAAAZHJzL2Uyb0RvYy54bWysVM1uGjEQvlfqO1i+NwsImgQFIhpEVSlK&#10;IiVVzoPXy67ktV3bsNC36L1qHovX6WfvQn7aU9U9eGc8/9/M+OJyWyu2kc5XRk94/6THmdTC5JVe&#10;TfjXh8WHM858IJ2TMlpO+E56fjl9/+6isWM5MKVRuXQMTrQfN3bCyxDsOMu8KGVN/sRYqSEsjKsp&#10;gHWrLHfUwHutskGv9zFrjMutM0J6j9t5K+TT5L8opAi3ReFlYGrCkVtIp0vnMp7Z9ILGK0e2rESX&#10;Bv1DFjVVGkGPruYUiK1d9YeruhLOeFOEE2HqzBRFJWSqAdX0e2+quS/JylQLwPH2CJP/f27FzebO&#10;sSpH74acaarRo/2v/c/9j/0TwxXwaawfQ+3e3rmO8yBjsdvC1fGPMtg2Ybo7Yiq3gQlcDs5GpyMg&#10;LyA6Hw1Awkn2bGudD5+lqVkkJtyhYwlI2lz70KoeVGIob1SVLyqlErPzV8qxDaG5mIncNA8Iy5ki&#10;HyBALunrIr4yVZo1SG407MXcCJNXKIKpqC2w8HrFGakVRloEl/J5Ze3danmMPFyc9T/NW6WSctnm&#10;M4qhD5Fb9VT3Kz+xsjn5sjVJos5E6VigTBPcARH70CIfqaXJd+icM+1IeysWFbxdo/Q7cphh1IW9&#10;DLc4CmVQrOkozkrjvv/tPupjtCDlrMFOAIhva3ISiH7RGLrz/nAYlygxw9HpAIx7KVm+lOh1fWXQ&#10;mT5eACsSGfWDOtwWztSPWN9ZjAoRaYHYLeQdcxXaXcUDIORsltSwOJbCtb63IjqPOEUcH7aP5Gw3&#10;RgFzcGMO+0PjN9PU6kZLbWbrYIoqjdozrmhVZLB0qWndAxG3+iWftJ6fselvAAAA//8DAFBLAwQU&#10;AAYACAAAACEAma8t398AAAALAQAADwAAAGRycy9kb3ducmV2LnhtbEyPwU7DMAyG70i8Q2Qkbizd&#10;RktXmk6wCXHisLLLbllj2mqJUzXZVt4ec4Kjf3/6/blcT86KC46h96RgPktAIDXe9NQq2H++PeQg&#10;QtRktPWECr4xwLq6vSl1YfyVdnipYyu4hEKhFXQxDoWUoenQ6TDzAxLvvvzodORxbKUZ9ZXLnZWL&#10;JMmk0z3xhU4PuOmwOdVnp2DxUdtgY/6+eT0dtvi0a0K6zZW6v5tenkFEnOIfDL/6rA4VOx39mUwQ&#10;VkE2T1eMKkjTxyUIJrIs4eTISbZagqxK+f+H6gcAAP//AwBQSwECLQAUAAYACAAAACEAtoM4kv4A&#10;AADhAQAAEwAAAAAAAAAAAAAAAAAAAAAAW0NvbnRlbnRfVHlwZXNdLnhtbFBLAQItABQABgAIAAAA&#10;IQA4/SH/1gAAAJQBAAALAAAAAAAAAAAAAAAAAC8BAABfcmVscy8ucmVsc1BLAQItABQABgAIAAAA&#10;IQDtopvjhwIAAA4FAAAOAAAAAAAAAAAAAAAAAC4CAABkcnMvZTJvRG9jLnhtbFBLAQItABQABgAI&#10;AAAAIQCZry3f3wAAAAsBAAAPAAAAAAAAAAAAAAAAAOEEAABkcnMvZG93bnJldi54bWxQSwUGAAAA&#10;AAQABADzAAAA7QUAAAAA&#10;" fillcolor="windowText" strokecolor="#385d8a" strokeweight="2pt"/>
            </w:pict>
          </mc:Fallback>
        </mc:AlternateContent>
      </w:r>
    </w:p>
    <w:p w:rsidR="00B55ED8" w:rsidRPr="00B92627" w:rsidRDefault="00D15306" w:rsidP="001F2CD7">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sidRPr="00B92627">
        <w:rPr>
          <w:rFonts w:ascii="FrankRuehl" w:hAnsi="FrankRuehl" w:cs="FrankRuehl"/>
          <w:noProof w:val="0"/>
          <w:sz w:val="26"/>
          <w:szCs w:val="26"/>
          <w:rtl/>
        </w:rPr>
        <w:t xml:space="preserve">במהלך לימודיהם עבדו הצדדים על </w:t>
      </w:r>
      <w:r w:rsidR="001373FE">
        <w:rPr>
          <w:rFonts w:ascii="FrankRuehl" w:hAnsi="FrankRuehl" w:cs="FrankRuehl" w:hint="cs"/>
          <w:noProof w:val="0"/>
          <w:sz w:val="26"/>
          <w:szCs w:val="26"/>
          <w:rtl/>
        </w:rPr>
        <w:t xml:space="preserve">פיתוח </w:t>
      </w:r>
      <w:r w:rsidRPr="00B92627">
        <w:rPr>
          <w:rFonts w:ascii="FrankRuehl" w:hAnsi="FrankRuehl" w:cs="FrankRuehl"/>
          <w:noProof w:val="0"/>
          <w:sz w:val="26"/>
          <w:szCs w:val="26"/>
          <w:rtl/>
        </w:rPr>
        <w:t>מיזמים</w:t>
      </w:r>
      <w:r w:rsidR="00EC0705" w:rsidRPr="00B92627">
        <w:rPr>
          <w:rFonts w:ascii="FrankRuehl" w:hAnsi="FrankRuehl" w:cs="FrankRuehl"/>
          <w:noProof w:val="0"/>
          <w:sz w:val="26"/>
          <w:szCs w:val="26"/>
          <w:rtl/>
        </w:rPr>
        <w:t>,</w:t>
      </w:r>
      <w:r w:rsidRPr="00B92627">
        <w:rPr>
          <w:rFonts w:ascii="FrankRuehl" w:hAnsi="FrankRuehl" w:cs="FrankRuehl"/>
          <w:noProof w:val="0"/>
          <w:sz w:val="26"/>
          <w:szCs w:val="26"/>
          <w:rtl/>
        </w:rPr>
        <w:t xml:space="preserve"> וקיבלו לשם כך </w:t>
      </w:r>
      <w:r w:rsidR="009B3313">
        <w:rPr>
          <w:rFonts w:ascii="FrankRuehl" w:hAnsi="FrankRuehl" w:cs="FrankRuehl" w:hint="cs"/>
          <w:noProof w:val="0"/>
          <w:sz w:val="26"/>
          <w:szCs w:val="26"/>
          <w:rtl/>
        </w:rPr>
        <w:t>מענקים</w:t>
      </w:r>
      <w:r w:rsidRPr="00B92627">
        <w:rPr>
          <w:rFonts w:ascii="FrankRuehl" w:hAnsi="FrankRuehl" w:cs="FrankRuehl"/>
          <w:noProof w:val="0"/>
          <w:sz w:val="26"/>
          <w:szCs w:val="26"/>
          <w:rtl/>
        </w:rPr>
        <w:t xml:space="preserve"> </w:t>
      </w:r>
      <w:r w:rsidR="00EC0705" w:rsidRPr="00B92627">
        <w:rPr>
          <w:rFonts w:ascii="FrankRuehl" w:hAnsi="FrankRuehl" w:cs="FrankRuehl"/>
          <w:noProof w:val="0"/>
          <w:sz w:val="26"/>
          <w:szCs w:val="26"/>
          <w:rtl/>
        </w:rPr>
        <w:t>מקרן ממשלתית</w:t>
      </w:r>
      <w:r w:rsidR="009B3313">
        <w:rPr>
          <w:rFonts w:ascii="FrankRuehl" w:hAnsi="FrankRuehl" w:cs="FrankRuehl" w:hint="cs"/>
          <w:noProof w:val="0"/>
          <w:sz w:val="26"/>
          <w:szCs w:val="26"/>
          <w:rtl/>
        </w:rPr>
        <w:t xml:space="preserve"> (להלן: </w:t>
      </w:r>
      <w:r w:rsidR="009B3313" w:rsidRPr="009B3313">
        <w:rPr>
          <w:rFonts w:asciiTheme="minorBidi" w:hAnsiTheme="minorBidi" w:cstheme="minorBidi"/>
          <w:noProof w:val="0"/>
          <w:rtl/>
        </w:rPr>
        <w:t>המענקים</w:t>
      </w:r>
      <w:r w:rsidR="009B3313">
        <w:rPr>
          <w:rFonts w:ascii="FrankRuehl" w:hAnsi="FrankRuehl" w:cs="FrankRuehl" w:hint="cs"/>
          <w:noProof w:val="0"/>
          <w:sz w:val="26"/>
          <w:szCs w:val="26"/>
          <w:rtl/>
        </w:rPr>
        <w:t>)</w:t>
      </w:r>
      <w:r w:rsidR="001373FE">
        <w:rPr>
          <w:rFonts w:ascii="FrankRuehl" w:hAnsi="FrankRuehl" w:cs="FrankRuehl" w:hint="cs"/>
          <w:noProof w:val="0"/>
          <w:sz w:val="26"/>
          <w:szCs w:val="26"/>
          <w:rtl/>
        </w:rPr>
        <w:t xml:space="preserve">. </w:t>
      </w:r>
      <w:r w:rsidR="001F2CD7">
        <w:rPr>
          <w:rFonts w:ascii="FrankRuehl" w:hAnsi="FrankRuehl" w:cs="FrankRuehl" w:hint="cs"/>
          <w:noProof w:val="0"/>
          <w:sz w:val="26"/>
          <w:szCs w:val="26"/>
          <w:rtl/>
        </w:rPr>
        <w:t xml:space="preserve">סכום </w:t>
      </w:r>
      <w:r w:rsidR="001373FE">
        <w:rPr>
          <w:rFonts w:ascii="FrankRuehl" w:hAnsi="FrankRuehl" w:cs="FrankRuehl" w:hint="cs"/>
          <w:noProof w:val="0"/>
          <w:sz w:val="26"/>
          <w:szCs w:val="26"/>
          <w:rtl/>
        </w:rPr>
        <w:t>המענקים ה</w:t>
      </w:r>
      <w:r w:rsidR="001F2CD7">
        <w:rPr>
          <w:rFonts w:ascii="FrankRuehl" w:hAnsi="FrankRuehl" w:cs="FrankRuehl" w:hint="cs"/>
          <w:noProof w:val="0"/>
          <w:sz w:val="26"/>
          <w:szCs w:val="26"/>
          <w:rtl/>
        </w:rPr>
        <w:t xml:space="preserve">כולל היה כ- 1.1 </w:t>
      </w:r>
      <w:r w:rsidRPr="00B92627">
        <w:rPr>
          <w:rFonts w:ascii="FrankRuehl" w:hAnsi="FrankRuehl" w:cs="FrankRuehl"/>
          <w:noProof w:val="0"/>
          <w:sz w:val="26"/>
          <w:szCs w:val="26"/>
          <w:rtl/>
        </w:rPr>
        <w:t>מיליון דולר סינגפורי</w:t>
      </w:r>
      <w:r w:rsidR="00EC0705" w:rsidRPr="00B92627">
        <w:rPr>
          <w:rFonts w:ascii="FrankRuehl" w:hAnsi="FrankRuehl" w:cs="FrankRuehl"/>
          <w:noProof w:val="0"/>
          <w:sz w:val="26"/>
          <w:szCs w:val="26"/>
          <w:rtl/>
        </w:rPr>
        <w:t>.</w:t>
      </w:r>
      <w:r w:rsidRPr="00B92627">
        <w:rPr>
          <w:rFonts w:ascii="FrankRuehl" w:hAnsi="FrankRuehl" w:cs="FrankRuehl"/>
          <w:noProof w:val="0"/>
          <w:sz w:val="26"/>
          <w:szCs w:val="26"/>
          <w:rtl/>
        </w:rPr>
        <w:t xml:space="preserve"> </w:t>
      </w:r>
    </w:p>
    <w:p w:rsidR="007918F6" w:rsidRDefault="007918F6" w:rsidP="00594005">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sidRPr="00B92627">
        <w:rPr>
          <w:rFonts w:ascii="FrankRuehl" w:hAnsi="FrankRuehl" w:cs="FrankRuehl" w:hint="cs"/>
          <w:noProof w:val="0"/>
          <w:sz w:val="26"/>
          <w:szCs w:val="26"/>
          <w:rtl/>
        </w:rPr>
        <w:t>בשנת 2017 הק</w:t>
      </w:r>
      <w:r w:rsidR="00903544">
        <w:rPr>
          <w:rFonts w:ascii="FrankRuehl" w:hAnsi="FrankRuehl" w:cs="FrankRuehl" w:hint="cs"/>
          <w:noProof w:val="0"/>
          <w:sz w:val="26"/>
          <w:szCs w:val="26"/>
          <w:rtl/>
        </w:rPr>
        <w:t xml:space="preserve">ימו הצדדים </w:t>
      </w:r>
      <w:r w:rsidRPr="00B92627">
        <w:rPr>
          <w:rFonts w:ascii="FrankRuehl" w:hAnsi="FrankRuehl" w:cs="FrankRuehl" w:hint="cs"/>
          <w:noProof w:val="0"/>
          <w:sz w:val="26"/>
          <w:szCs w:val="26"/>
          <w:rtl/>
        </w:rPr>
        <w:t>חברה</w:t>
      </w:r>
      <w:r w:rsidR="00903544">
        <w:rPr>
          <w:rFonts w:ascii="FrankRuehl" w:hAnsi="FrankRuehl" w:cs="FrankRuehl" w:hint="cs"/>
          <w:noProof w:val="0"/>
          <w:sz w:val="26"/>
          <w:szCs w:val="26"/>
          <w:rtl/>
        </w:rPr>
        <w:t>,</w:t>
      </w:r>
      <w:r w:rsidRPr="00B92627">
        <w:rPr>
          <w:rFonts w:ascii="FrankRuehl" w:hAnsi="FrankRuehl" w:cs="FrankRuehl" w:hint="cs"/>
          <w:noProof w:val="0"/>
          <w:sz w:val="26"/>
          <w:szCs w:val="26"/>
          <w:rtl/>
        </w:rPr>
        <w:t xml:space="preserve"> בשם</w:t>
      </w:r>
      <w:r w:rsidR="00594005">
        <w:rPr>
          <w:rFonts w:ascii="Arial" w:hAnsi="Arial"/>
          <w:noProof w:val="0"/>
          <w:sz w:val="20"/>
          <w:szCs w:val="20"/>
        </w:rPr>
        <w:t>AM</w:t>
      </w:r>
      <w:r w:rsidRPr="00B92627">
        <w:rPr>
          <w:rFonts w:ascii="Arial" w:hAnsi="Arial" w:hint="cs"/>
          <w:noProof w:val="0"/>
          <w:sz w:val="20"/>
          <w:szCs w:val="20"/>
        </w:rPr>
        <w:t xml:space="preserve"> </w:t>
      </w:r>
      <w:r w:rsidR="00594005">
        <w:rPr>
          <w:rFonts w:ascii="FrankRuehl" w:hAnsi="FrankRuehl" w:cs="FrankRuehl" w:hint="cs"/>
          <w:noProof w:val="0"/>
          <w:sz w:val="26"/>
          <w:szCs w:val="26"/>
          <w:rtl/>
        </w:rPr>
        <w:t xml:space="preserve"> </w:t>
      </w:r>
      <w:r w:rsidRPr="00B92627">
        <w:rPr>
          <w:rFonts w:ascii="FrankRuehl" w:hAnsi="FrankRuehl" w:cs="FrankRuehl" w:hint="cs"/>
          <w:noProof w:val="0"/>
          <w:sz w:val="26"/>
          <w:szCs w:val="26"/>
          <w:rtl/>
        </w:rPr>
        <w:t>(להלן:</w:t>
      </w:r>
      <w:r w:rsidR="00683E8F">
        <w:rPr>
          <w:rFonts w:ascii="FrankRuehl" w:hAnsi="FrankRuehl" w:cs="FrankRuehl" w:hint="cs"/>
          <w:noProof w:val="0"/>
          <w:sz w:val="26"/>
          <w:szCs w:val="26"/>
          <w:rtl/>
        </w:rPr>
        <w:t xml:space="preserve"> </w:t>
      </w:r>
      <w:r w:rsidR="00683E8F" w:rsidRPr="00683E8F">
        <w:rPr>
          <w:rFonts w:ascii="FrankRuehl" w:hAnsi="FrankRuehl" w:cs="FrankRuehl"/>
          <w:noProof w:val="0"/>
          <w:sz w:val="22"/>
          <w:szCs w:val="22"/>
        </w:rPr>
        <w:t>AM</w:t>
      </w:r>
      <w:r w:rsidR="00903544">
        <w:rPr>
          <w:rFonts w:ascii="FrankRuehl" w:hAnsi="FrankRuehl" w:cs="FrankRuehl" w:hint="cs"/>
          <w:noProof w:val="0"/>
          <w:sz w:val="26"/>
          <w:szCs w:val="26"/>
          <w:rtl/>
        </w:rPr>
        <w:t xml:space="preserve">). הצדדים נרשמו כבעלי המניות בחברת </w:t>
      </w:r>
      <w:r w:rsidR="00903544" w:rsidRPr="00683E8F">
        <w:rPr>
          <w:rFonts w:ascii="FrankRuehl" w:hAnsi="FrankRuehl" w:cs="FrankRuehl"/>
          <w:noProof w:val="0"/>
          <w:sz w:val="22"/>
          <w:szCs w:val="22"/>
        </w:rPr>
        <w:t>AM</w:t>
      </w:r>
      <w:r w:rsidRPr="00B92627">
        <w:rPr>
          <w:rFonts w:ascii="FrankRuehl" w:hAnsi="FrankRuehl" w:cs="FrankRuehl" w:hint="cs"/>
          <w:noProof w:val="0"/>
          <w:sz w:val="26"/>
          <w:szCs w:val="26"/>
          <w:rtl/>
        </w:rPr>
        <w:t xml:space="preserve"> בחלקים שווים, ו</w:t>
      </w:r>
      <w:r w:rsidR="001373FE">
        <w:rPr>
          <w:rFonts w:ascii="FrankRuehl" w:hAnsi="FrankRuehl" w:cs="FrankRuehl" w:hint="cs"/>
          <w:noProof w:val="0"/>
          <w:sz w:val="26"/>
          <w:szCs w:val="26"/>
          <w:rtl/>
        </w:rPr>
        <w:t xml:space="preserve">כן </w:t>
      </w:r>
      <w:r w:rsidRPr="00B92627">
        <w:rPr>
          <w:rFonts w:ascii="FrankRuehl" w:hAnsi="FrankRuehl" w:cs="FrankRuehl" w:hint="cs"/>
          <w:noProof w:val="0"/>
          <w:sz w:val="26"/>
          <w:szCs w:val="26"/>
          <w:rtl/>
        </w:rPr>
        <w:t>די</w:t>
      </w:r>
      <w:r w:rsidR="00B92627" w:rsidRPr="00B92627">
        <w:rPr>
          <w:rFonts w:ascii="FrankRuehl" w:hAnsi="FrankRuehl" w:cs="FrankRuehl" w:hint="cs"/>
          <w:noProof w:val="0"/>
          <w:sz w:val="26"/>
          <w:szCs w:val="26"/>
          <w:rtl/>
        </w:rPr>
        <w:t xml:space="preserve">רקטורים </w:t>
      </w:r>
      <w:r w:rsidR="00903544">
        <w:rPr>
          <w:rFonts w:ascii="FrankRuehl" w:hAnsi="FrankRuehl" w:cs="FrankRuehl" w:hint="cs"/>
          <w:noProof w:val="0"/>
          <w:sz w:val="26"/>
          <w:szCs w:val="26"/>
          <w:rtl/>
        </w:rPr>
        <w:t xml:space="preserve">בה </w:t>
      </w:r>
      <w:r w:rsidR="00B92627" w:rsidRPr="00B92627">
        <w:rPr>
          <w:rFonts w:ascii="FrankRuehl" w:hAnsi="FrankRuehl" w:cs="FrankRuehl" w:hint="cs"/>
          <w:noProof w:val="0"/>
          <w:sz w:val="26"/>
          <w:szCs w:val="26"/>
          <w:rtl/>
        </w:rPr>
        <w:t>(נספח 7 לתצהיר הנתבעת).</w:t>
      </w:r>
    </w:p>
    <w:p w:rsidR="005D7CD2" w:rsidRDefault="005D7CD2" w:rsidP="005D7CD2">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ביום 16.1.2020 הצדדים נישאו בסינגפור.</w:t>
      </w:r>
    </w:p>
    <w:p w:rsidR="00856158" w:rsidRDefault="009F298D" w:rsidP="00594005">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ב</w:t>
      </w:r>
      <w:r w:rsidR="005D7CD2">
        <w:rPr>
          <w:rFonts w:ascii="FrankRuehl" w:hAnsi="FrankRuehl" w:cs="FrankRuehl" w:hint="cs"/>
          <w:noProof w:val="0"/>
          <w:sz w:val="26"/>
          <w:szCs w:val="26"/>
          <w:rtl/>
        </w:rPr>
        <w:t xml:space="preserve">יום 13.8.2020 </w:t>
      </w:r>
      <w:r>
        <w:rPr>
          <w:rFonts w:ascii="FrankRuehl" w:hAnsi="FrankRuehl" w:cs="FrankRuehl" w:hint="cs"/>
          <w:noProof w:val="0"/>
          <w:sz w:val="26"/>
          <w:szCs w:val="26"/>
          <w:rtl/>
        </w:rPr>
        <w:t>הוקמה חברה בשם</w:t>
      </w:r>
      <w:r w:rsidRPr="009F298D">
        <w:rPr>
          <w:rFonts w:ascii="FrankRuehl" w:hAnsi="FrankRuehl" w:cs="FrankRuehl"/>
          <w:noProof w:val="0"/>
        </w:rPr>
        <w:t xml:space="preserve">SG </w:t>
      </w:r>
      <w:r>
        <w:rPr>
          <w:rFonts w:ascii="FrankRuehl" w:hAnsi="FrankRuehl" w:cs="FrankRuehl" w:hint="cs"/>
          <w:noProof w:val="0"/>
          <w:sz w:val="26"/>
          <w:szCs w:val="26"/>
          <w:rtl/>
        </w:rPr>
        <w:t xml:space="preserve">(להלן: </w:t>
      </w:r>
      <w:r w:rsidRPr="009F298D">
        <w:rPr>
          <w:rFonts w:ascii="FrankRuehl" w:hAnsi="FrankRuehl" w:cs="FrankRuehl" w:hint="cs"/>
          <w:noProof w:val="0"/>
          <w:sz w:val="22"/>
          <w:szCs w:val="22"/>
        </w:rPr>
        <w:t>SG</w:t>
      </w:r>
      <w:r>
        <w:rPr>
          <w:rFonts w:ascii="FrankRuehl" w:hAnsi="FrankRuehl" w:cs="FrankRuehl" w:hint="cs"/>
          <w:noProof w:val="0"/>
          <w:sz w:val="26"/>
          <w:szCs w:val="26"/>
          <w:rtl/>
        </w:rPr>
        <w:t>)</w:t>
      </w:r>
      <w:r w:rsidR="00903544">
        <w:rPr>
          <w:rFonts w:ascii="FrankRuehl" w:hAnsi="FrankRuehl" w:cs="FrankRuehl" w:hint="cs"/>
          <w:noProof w:val="0"/>
          <w:sz w:val="26"/>
          <w:szCs w:val="26"/>
          <w:rtl/>
        </w:rPr>
        <w:t xml:space="preserve">. </w:t>
      </w:r>
      <w:r>
        <w:rPr>
          <w:rFonts w:ascii="FrankRuehl" w:hAnsi="FrankRuehl" w:cs="FrankRuehl" w:hint="cs"/>
          <w:noProof w:val="0"/>
          <w:sz w:val="26"/>
          <w:szCs w:val="26"/>
          <w:rtl/>
        </w:rPr>
        <w:t>הנ</w:t>
      </w:r>
      <w:r w:rsidR="001D3526">
        <w:rPr>
          <w:rFonts w:ascii="FrankRuehl" w:hAnsi="FrankRuehl" w:cs="FrankRuehl" w:hint="cs"/>
          <w:noProof w:val="0"/>
          <w:sz w:val="26"/>
          <w:szCs w:val="26"/>
          <w:rtl/>
        </w:rPr>
        <w:t xml:space="preserve">תבעת </w:t>
      </w:r>
      <w:r w:rsidR="00903544">
        <w:rPr>
          <w:rFonts w:ascii="FrankRuehl" w:hAnsi="FrankRuehl" w:cs="FrankRuehl" w:hint="cs"/>
          <w:noProof w:val="0"/>
          <w:sz w:val="26"/>
          <w:szCs w:val="26"/>
          <w:rtl/>
        </w:rPr>
        <w:t>נרשמה כ</w:t>
      </w:r>
      <w:r w:rsidR="001D3526">
        <w:rPr>
          <w:rFonts w:ascii="FrankRuehl" w:hAnsi="FrankRuehl" w:cs="FrankRuehl" w:hint="cs"/>
          <w:noProof w:val="0"/>
          <w:sz w:val="26"/>
          <w:szCs w:val="26"/>
          <w:rtl/>
        </w:rPr>
        <w:t>בעלת מניות יחידה</w:t>
      </w:r>
      <w:r w:rsidR="00903544">
        <w:rPr>
          <w:rFonts w:ascii="FrankRuehl" w:hAnsi="FrankRuehl" w:cs="FrankRuehl" w:hint="cs"/>
          <w:noProof w:val="0"/>
          <w:sz w:val="26"/>
          <w:szCs w:val="26"/>
          <w:rtl/>
        </w:rPr>
        <w:t xml:space="preserve"> בחברת </w:t>
      </w:r>
      <w:r w:rsidR="00903544" w:rsidRPr="009F298D">
        <w:rPr>
          <w:rFonts w:ascii="FrankRuehl" w:hAnsi="FrankRuehl" w:cs="FrankRuehl" w:hint="cs"/>
          <w:noProof w:val="0"/>
          <w:sz w:val="22"/>
          <w:szCs w:val="22"/>
        </w:rPr>
        <w:t>SG</w:t>
      </w:r>
      <w:r w:rsidR="001D3526">
        <w:rPr>
          <w:rFonts w:ascii="FrankRuehl" w:hAnsi="FrankRuehl" w:cs="FrankRuehl" w:hint="cs"/>
          <w:noProof w:val="0"/>
          <w:sz w:val="26"/>
          <w:szCs w:val="26"/>
          <w:rtl/>
        </w:rPr>
        <w:t>.</w:t>
      </w:r>
      <w:r w:rsidR="000C3FB1">
        <w:rPr>
          <w:rFonts w:ascii="FrankRuehl" w:hAnsi="FrankRuehl" w:cs="FrankRuehl" w:hint="cs"/>
          <w:noProof w:val="0"/>
          <w:sz w:val="26"/>
          <w:szCs w:val="26"/>
          <w:rtl/>
        </w:rPr>
        <w:t xml:space="preserve"> </w:t>
      </w:r>
      <w:r w:rsidR="008A22F5">
        <w:rPr>
          <w:rFonts w:ascii="FrankRuehl" w:hAnsi="FrankRuehl" w:cs="FrankRuehl" w:hint="cs"/>
          <w:noProof w:val="0"/>
          <w:sz w:val="26"/>
          <w:szCs w:val="26"/>
          <w:rtl/>
        </w:rPr>
        <w:t xml:space="preserve">  </w:t>
      </w:r>
    </w:p>
    <w:p w:rsidR="009F298D" w:rsidRDefault="000C3FB1" w:rsidP="00903544">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lastRenderedPageBreak/>
        <w:t xml:space="preserve">בשנת 2021 נמכר חלק ממניות </w:t>
      </w:r>
      <w:r w:rsidRPr="009F298D">
        <w:rPr>
          <w:rFonts w:ascii="FrankRuehl" w:hAnsi="FrankRuehl" w:cs="FrankRuehl" w:hint="cs"/>
          <w:noProof w:val="0"/>
          <w:sz w:val="22"/>
          <w:szCs w:val="22"/>
        </w:rPr>
        <w:t>SG</w:t>
      </w:r>
      <w:r>
        <w:rPr>
          <w:rFonts w:ascii="FrankRuehl" w:hAnsi="FrankRuehl" w:cs="FrankRuehl" w:hint="cs"/>
          <w:noProof w:val="0"/>
          <w:sz w:val="22"/>
          <w:szCs w:val="22"/>
          <w:rtl/>
        </w:rPr>
        <w:t xml:space="preserve"> </w:t>
      </w:r>
      <w:r w:rsidRPr="000C3FB1">
        <w:rPr>
          <w:rFonts w:ascii="FrankRuehl" w:hAnsi="FrankRuehl" w:cs="FrankRuehl" w:hint="cs"/>
          <w:noProof w:val="0"/>
          <w:sz w:val="26"/>
          <w:szCs w:val="26"/>
          <w:rtl/>
        </w:rPr>
        <w:t>תמורת סכום של 2.2 מיליון דולר</w:t>
      </w:r>
      <w:r w:rsidR="00903544">
        <w:rPr>
          <w:rFonts w:ascii="FrankRuehl" w:hAnsi="FrankRuehl" w:cs="FrankRuehl" w:hint="cs"/>
          <w:noProof w:val="0"/>
          <w:sz w:val="26"/>
          <w:szCs w:val="26"/>
          <w:rtl/>
        </w:rPr>
        <w:t>, שהופקד ב</w:t>
      </w:r>
      <w:r w:rsidR="001950FD">
        <w:rPr>
          <w:rFonts w:ascii="FrankRuehl" w:hAnsi="FrankRuehl" w:cs="FrankRuehl" w:hint="cs"/>
          <w:noProof w:val="0"/>
          <w:sz w:val="26"/>
          <w:szCs w:val="26"/>
          <w:rtl/>
        </w:rPr>
        <w:t>חשבון</w:t>
      </w:r>
      <w:r w:rsidR="00903544">
        <w:rPr>
          <w:rFonts w:ascii="FrankRuehl" w:hAnsi="FrankRuehl" w:cs="FrankRuehl" w:hint="cs"/>
          <w:noProof w:val="0"/>
          <w:sz w:val="26"/>
          <w:szCs w:val="26"/>
          <w:rtl/>
        </w:rPr>
        <w:t>,</w:t>
      </w:r>
      <w:r w:rsidR="001950FD">
        <w:rPr>
          <w:rFonts w:ascii="FrankRuehl" w:hAnsi="FrankRuehl" w:cs="FrankRuehl" w:hint="cs"/>
          <w:noProof w:val="0"/>
          <w:sz w:val="26"/>
          <w:szCs w:val="26"/>
          <w:rtl/>
        </w:rPr>
        <w:t xml:space="preserve"> שהתנהל על שם הנתבעת. </w:t>
      </w:r>
      <w:r w:rsidR="00C64147">
        <w:rPr>
          <w:rFonts w:ascii="FrankRuehl" w:hAnsi="FrankRuehl" w:cs="FrankRuehl" w:hint="cs"/>
          <w:noProof w:val="0"/>
          <w:sz w:val="26"/>
          <w:szCs w:val="26"/>
          <w:rtl/>
        </w:rPr>
        <w:t>מספר חודשים לאחר מכן, ביקשו הצדדים לצרף את התובע לחשבון האמור, אך הדבר לא הסתייע מבחינת הבנק. לפיכך, נפתח חשבון בנק אחר על שם הצדדים (נספח 16 לתצהיר התובע, נספח 11 לתצהיר הנתבעת)</w:t>
      </w:r>
      <w:r w:rsidR="001950FD">
        <w:rPr>
          <w:rFonts w:ascii="FrankRuehl" w:hAnsi="FrankRuehl" w:cs="FrankRuehl" w:hint="cs"/>
          <w:noProof w:val="0"/>
          <w:sz w:val="26"/>
          <w:szCs w:val="26"/>
          <w:rtl/>
        </w:rPr>
        <w:t>.</w:t>
      </w:r>
    </w:p>
    <w:p w:rsidR="007D4AFB" w:rsidRDefault="007D4AFB" w:rsidP="007D4AFB">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sidRPr="00683E8F">
        <w:rPr>
          <w:rFonts w:ascii="FrankRuehl" w:hAnsi="FrankRuehl" w:cs="FrankRuehl" w:hint="cs"/>
          <w:noProof w:val="0"/>
          <w:sz w:val="26"/>
          <w:szCs w:val="26"/>
          <w:rtl/>
        </w:rPr>
        <w:t>בשנת 2021 קיבלה הנתבעת אזרחות סינגפורית.</w:t>
      </w:r>
      <w:r w:rsidR="00847DAD">
        <w:rPr>
          <w:rFonts w:ascii="FrankRuehl" w:hAnsi="FrankRuehl" w:cs="FrankRuehl" w:hint="cs"/>
          <w:noProof w:val="0"/>
          <w:sz w:val="26"/>
          <w:szCs w:val="26"/>
          <w:rtl/>
        </w:rPr>
        <w:t xml:space="preserve"> באותה שנה רכשו הצדדים בית בארצות הברית, שנרשם על שם שניהם.</w:t>
      </w:r>
    </w:p>
    <w:p w:rsidR="001D3526" w:rsidRDefault="00827FD4" w:rsidP="009F298D">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 xml:space="preserve">לאחר מכירת מניות </w:t>
      </w:r>
      <w:r w:rsidRPr="009F298D">
        <w:rPr>
          <w:rFonts w:ascii="FrankRuehl" w:hAnsi="FrankRuehl" w:cs="FrankRuehl" w:hint="cs"/>
          <w:noProof w:val="0"/>
          <w:sz w:val="22"/>
          <w:szCs w:val="22"/>
        </w:rPr>
        <w:t>SG</w:t>
      </w:r>
      <w:r>
        <w:rPr>
          <w:rFonts w:ascii="FrankRuehl" w:hAnsi="FrankRuehl" w:cs="FrankRuehl" w:hint="cs"/>
          <w:noProof w:val="0"/>
          <w:sz w:val="26"/>
          <w:szCs w:val="26"/>
          <w:rtl/>
        </w:rPr>
        <w:t xml:space="preserve"> נרכש על שם הצדדים בית בארצות הברית.</w:t>
      </w:r>
    </w:p>
    <w:p w:rsidR="00C53640" w:rsidRDefault="00F223BB" w:rsidP="00E51F3E">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בחודש יוני 2022 נסע התובע מסינגפור לארצות הברית</w:t>
      </w:r>
      <w:r w:rsidR="00E51F3E">
        <w:rPr>
          <w:rFonts w:ascii="FrankRuehl" w:hAnsi="FrankRuehl" w:cs="FrankRuehl" w:hint="cs"/>
          <w:noProof w:val="0"/>
          <w:sz w:val="26"/>
          <w:szCs w:val="26"/>
          <w:rtl/>
        </w:rPr>
        <w:t xml:space="preserve">. לטענת התובע, המוכחשת על ידי הנתבעת, מטרת הנסיעה הייתה בחינת אפשרות להשתקע בארצות הברית. </w:t>
      </w:r>
    </w:p>
    <w:p w:rsidR="00C53640" w:rsidRDefault="00C53640" w:rsidP="00C53640">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 xml:space="preserve">בחודש יולי 2022 רכשה הנתבעת דירה בסינגפור על שמה (להלן: </w:t>
      </w:r>
      <w:r w:rsidRPr="0028237A">
        <w:rPr>
          <w:rFonts w:asciiTheme="minorBidi" w:hAnsiTheme="minorBidi" w:cstheme="minorBidi" w:hint="cs"/>
          <w:noProof w:val="0"/>
          <w:rtl/>
        </w:rPr>
        <w:t xml:space="preserve">הדירה </w:t>
      </w:r>
      <w:r w:rsidRPr="00C53640">
        <w:rPr>
          <w:rFonts w:asciiTheme="minorBidi" w:hAnsiTheme="minorBidi" w:cstheme="minorBidi"/>
          <w:noProof w:val="0"/>
          <w:rtl/>
        </w:rPr>
        <w:t>בסינגפור</w:t>
      </w:r>
      <w:r>
        <w:rPr>
          <w:rFonts w:ascii="FrankRuehl" w:hAnsi="FrankRuehl" w:cs="FrankRuehl" w:hint="cs"/>
          <w:noProof w:val="0"/>
          <w:sz w:val="26"/>
          <w:szCs w:val="26"/>
          <w:rtl/>
        </w:rPr>
        <w:t>), תוך שימוש בכספים שהיו בחשבונה. אין חולק, שהתובע לא ידע אודות רכישת הדירה בסינגפור.</w:t>
      </w:r>
    </w:p>
    <w:p w:rsidR="00827FD4" w:rsidRDefault="00E51F3E" w:rsidP="006100ED">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 xml:space="preserve">במהלך שהות התובע בארצות הברית, </w:t>
      </w:r>
      <w:r w:rsidR="00C53640">
        <w:rPr>
          <w:rFonts w:ascii="FrankRuehl" w:hAnsi="FrankRuehl" w:cs="FrankRuehl" w:hint="cs"/>
          <w:noProof w:val="0"/>
          <w:sz w:val="26"/>
          <w:szCs w:val="26"/>
          <w:rtl/>
        </w:rPr>
        <w:t>התחוור לו, שהנתבעת משכה כספים</w:t>
      </w:r>
      <w:r w:rsidR="006100ED">
        <w:rPr>
          <w:rFonts w:ascii="FrankRuehl" w:hAnsi="FrankRuehl" w:cs="FrankRuehl" w:hint="cs"/>
          <w:noProof w:val="0"/>
          <w:sz w:val="26"/>
          <w:szCs w:val="26"/>
          <w:rtl/>
        </w:rPr>
        <w:t xml:space="preserve"> מחשבונה</w:t>
      </w:r>
      <w:r w:rsidR="0028237A">
        <w:rPr>
          <w:rFonts w:ascii="FrankRuehl" w:hAnsi="FrankRuehl" w:cs="FrankRuehl" w:hint="cs"/>
          <w:noProof w:val="0"/>
          <w:sz w:val="26"/>
          <w:szCs w:val="26"/>
          <w:rtl/>
        </w:rPr>
        <w:t>.</w:t>
      </w:r>
      <w:r w:rsidR="002330EC">
        <w:rPr>
          <w:rFonts w:ascii="FrankRuehl" w:hAnsi="FrankRuehl" w:cs="FrankRuehl" w:hint="cs"/>
          <w:noProof w:val="0"/>
          <w:sz w:val="26"/>
          <w:szCs w:val="26"/>
          <w:rtl/>
        </w:rPr>
        <w:t xml:space="preserve"> לפיכך </w:t>
      </w:r>
      <w:r w:rsidR="006100ED">
        <w:rPr>
          <w:rFonts w:ascii="FrankRuehl" w:hAnsi="FrankRuehl" w:cs="FrankRuehl" w:hint="cs"/>
          <w:noProof w:val="0"/>
          <w:sz w:val="26"/>
          <w:szCs w:val="26"/>
          <w:rtl/>
        </w:rPr>
        <w:t xml:space="preserve">משך </w:t>
      </w:r>
      <w:r w:rsidR="002330EC">
        <w:rPr>
          <w:rFonts w:ascii="FrankRuehl" w:hAnsi="FrankRuehl" w:cs="FrankRuehl" w:hint="cs"/>
          <w:noProof w:val="0"/>
          <w:sz w:val="26"/>
          <w:szCs w:val="26"/>
          <w:rtl/>
        </w:rPr>
        <w:t xml:space="preserve">אף </w:t>
      </w:r>
      <w:r w:rsidR="006100ED">
        <w:rPr>
          <w:rFonts w:ascii="FrankRuehl" w:hAnsi="FrankRuehl" w:cs="FrankRuehl" w:hint="cs"/>
          <w:noProof w:val="0"/>
          <w:sz w:val="26"/>
          <w:szCs w:val="26"/>
          <w:rtl/>
        </w:rPr>
        <w:t xml:space="preserve">התובע </w:t>
      </w:r>
      <w:r w:rsidR="002330EC">
        <w:rPr>
          <w:rFonts w:ascii="FrankRuehl" w:hAnsi="FrankRuehl" w:cs="FrankRuehl" w:hint="cs"/>
          <w:noProof w:val="0"/>
          <w:sz w:val="26"/>
          <w:szCs w:val="26"/>
          <w:rtl/>
        </w:rPr>
        <w:t>כספים</w:t>
      </w:r>
      <w:r w:rsidR="006100ED">
        <w:rPr>
          <w:rFonts w:ascii="FrankRuehl" w:hAnsi="FrankRuehl" w:cs="FrankRuehl" w:hint="cs"/>
          <w:noProof w:val="0"/>
          <w:sz w:val="26"/>
          <w:szCs w:val="26"/>
          <w:rtl/>
        </w:rPr>
        <w:t xml:space="preserve"> מאותו חשבון</w:t>
      </w:r>
      <w:r w:rsidR="00C53640">
        <w:rPr>
          <w:rFonts w:ascii="FrankRuehl" w:hAnsi="FrankRuehl" w:cs="FrankRuehl" w:hint="cs"/>
          <w:noProof w:val="0"/>
          <w:sz w:val="26"/>
          <w:szCs w:val="26"/>
          <w:rtl/>
        </w:rPr>
        <w:t>.</w:t>
      </w:r>
    </w:p>
    <w:p w:rsidR="002330EC" w:rsidRDefault="002330EC" w:rsidP="00444F6C">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ביום 6.8.2022 שב התובע לסינגפור. בין הצדדים פרץ וויכוח, שלטענת הנתבעת כלל אלימות מצד התובע. הנתבעת עזבה את דירת מגורי הצדדים</w:t>
      </w:r>
      <w:r w:rsidR="0028237A">
        <w:rPr>
          <w:rFonts w:ascii="FrankRuehl" w:hAnsi="FrankRuehl" w:cs="FrankRuehl" w:hint="cs"/>
          <w:noProof w:val="0"/>
          <w:sz w:val="26"/>
          <w:szCs w:val="26"/>
          <w:rtl/>
        </w:rPr>
        <w:t xml:space="preserve"> ו</w:t>
      </w:r>
      <w:r>
        <w:rPr>
          <w:rFonts w:ascii="FrankRuehl" w:hAnsi="FrankRuehl" w:cs="FrankRuehl" w:hint="cs"/>
          <w:noProof w:val="0"/>
          <w:sz w:val="26"/>
          <w:szCs w:val="26"/>
          <w:rtl/>
        </w:rPr>
        <w:t>הגישה נגד התובע תלונה</w:t>
      </w:r>
      <w:r w:rsidR="00444F6C">
        <w:rPr>
          <w:rFonts w:ascii="FrankRuehl" w:hAnsi="FrankRuehl" w:cs="FrankRuehl" w:hint="cs"/>
          <w:noProof w:val="0"/>
          <w:sz w:val="26"/>
          <w:szCs w:val="26"/>
          <w:rtl/>
        </w:rPr>
        <w:t xml:space="preserve"> (לרבות בטענה שהתובע גנב כספים מחשבונה)</w:t>
      </w:r>
      <w:r>
        <w:rPr>
          <w:rFonts w:ascii="FrankRuehl" w:hAnsi="FrankRuehl" w:cs="FrankRuehl" w:hint="cs"/>
          <w:noProof w:val="0"/>
          <w:sz w:val="26"/>
          <w:szCs w:val="26"/>
          <w:rtl/>
        </w:rPr>
        <w:t>. הת</w:t>
      </w:r>
      <w:r w:rsidR="00E947CF">
        <w:rPr>
          <w:rFonts w:ascii="FrankRuehl" w:hAnsi="FrankRuehl" w:cs="FrankRuehl" w:hint="cs"/>
          <w:noProof w:val="0"/>
          <w:sz w:val="26"/>
          <w:szCs w:val="26"/>
          <w:rtl/>
        </w:rPr>
        <w:t>ובע נעצר למשך 24 שעות, ודרכונו נלקח ממנו. בחלוף 8 חודשים החליטו הרשויות בסינגפור לא לנקוט הליכים נגד התובע, והתאפשר לו לצאת מסינגפור.</w:t>
      </w:r>
    </w:p>
    <w:p w:rsidR="00E947CF" w:rsidRPr="00A24EC5" w:rsidRDefault="00E947CF" w:rsidP="00E947CF">
      <w:pPr>
        <w:spacing w:line="360" w:lineRule="auto"/>
        <w:jc w:val="both"/>
        <w:rPr>
          <w:rFonts w:ascii="Miriam" w:hAnsi="Miriam" w:cs="Miriam"/>
          <w:b/>
          <w:bCs/>
          <w:noProof w:val="0"/>
          <w:rtl/>
        </w:rPr>
      </w:pPr>
      <w:r w:rsidRPr="00A24EC5">
        <w:rPr>
          <w:rFonts w:ascii="Miriam" w:hAnsi="Miriam" w:cs="Miriam" w:hint="cs"/>
          <w:b/>
          <w:bCs/>
          <w:noProof w:val="0"/>
          <w:rtl/>
        </w:rPr>
        <w:t>ההליך</w:t>
      </w:r>
    </w:p>
    <w:p w:rsidR="00B55ED8" w:rsidRDefault="00B55ED8">
      <w:pPr>
        <w:spacing w:line="360" w:lineRule="auto"/>
        <w:jc w:val="both"/>
        <w:rPr>
          <w:rFonts w:ascii="Arial" w:hAnsi="Arial"/>
          <w:noProof w:val="0"/>
          <w:rtl/>
        </w:rPr>
      </w:pPr>
    </w:p>
    <w:p w:rsidR="00444F6C" w:rsidRDefault="00444F6C" w:rsidP="00D85CD4">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 xml:space="preserve">ביום 27.11.2022 הגיש התובע </w:t>
      </w:r>
      <w:r w:rsidRPr="00444F6C">
        <w:rPr>
          <w:rFonts w:ascii="FrankRuehl" w:hAnsi="FrankRuehl" w:cs="FrankRuehl" w:hint="cs"/>
          <w:noProof w:val="0"/>
          <w:sz w:val="26"/>
          <w:szCs w:val="26"/>
          <w:rtl/>
        </w:rPr>
        <w:t xml:space="preserve">תביעה </w:t>
      </w:r>
      <w:r>
        <w:rPr>
          <w:rFonts w:ascii="FrankRuehl" w:hAnsi="FrankRuehl" w:cs="FrankRuehl" w:hint="cs"/>
          <w:noProof w:val="0"/>
          <w:sz w:val="26"/>
          <w:szCs w:val="26"/>
          <w:rtl/>
        </w:rPr>
        <w:t>ל</w:t>
      </w:r>
      <w:r w:rsidR="002536BB">
        <w:rPr>
          <w:rFonts w:ascii="FrankRuehl" w:hAnsi="FrankRuehl" w:cs="FrankRuehl" w:hint="cs"/>
          <w:noProof w:val="0"/>
          <w:sz w:val="26"/>
          <w:szCs w:val="26"/>
          <w:rtl/>
        </w:rPr>
        <w:t xml:space="preserve">אכיפת </w:t>
      </w:r>
      <w:r w:rsidRPr="00444F6C">
        <w:rPr>
          <w:rFonts w:ascii="FrankRuehl" w:hAnsi="FrankRuehl" w:cs="FrankRuehl" w:hint="cs"/>
          <w:noProof w:val="0"/>
          <w:sz w:val="26"/>
          <w:szCs w:val="26"/>
          <w:rtl/>
        </w:rPr>
        <w:t>ההסכם</w:t>
      </w:r>
      <w:r>
        <w:rPr>
          <w:rFonts w:ascii="FrankRuehl" w:hAnsi="FrankRuehl" w:cs="FrankRuehl" w:hint="cs"/>
          <w:noProof w:val="0"/>
          <w:sz w:val="26"/>
          <w:szCs w:val="26"/>
          <w:rtl/>
        </w:rPr>
        <w:t>.</w:t>
      </w:r>
      <w:r w:rsidR="002536BB">
        <w:rPr>
          <w:rFonts w:ascii="FrankRuehl" w:hAnsi="FrankRuehl" w:cs="FrankRuehl" w:hint="cs"/>
          <w:noProof w:val="0"/>
          <w:sz w:val="26"/>
          <w:szCs w:val="26"/>
          <w:rtl/>
        </w:rPr>
        <w:t xml:space="preserve"> הנתבעת עתרה למחיקת התביעה על הסף, בטענה שבית משפט זה אינו הפורום הנאות לדון בה.</w:t>
      </w:r>
      <w:r w:rsidR="00D85CD4">
        <w:rPr>
          <w:rFonts w:ascii="FrankRuehl" w:hAnsi="FrankRuehl" w:cs="FrankRuehl" w:hint="cs"/>
          <w:noProof w:val="0"/>
          <w:sz w:val="26"/>
          <w:szCs w:val="26"/>
          <w:rtl/>
        </w:rPr>
        <w:t xml:space="preserve"> זאת לדעת, הנתבעת הגישה נגד התובע הליך בסינגפור.</w:t>
      </w:r>
    </w:p>
    <w:p w:rsidR="002536BB" w:rsidRDefault="002536BB" w:rsidP="00444F6C">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בדיון שהתקיים ביום 4.5.2023, קיבלה הנתבעת את המלצתי להכריע בכל המחלוקות, לרבות טענת הפורום, במסגרת פסק הדין.</w:t>
      </w:r>
    </w:p>
    <w:p w:rsidR="002536BB" w:rsidRDefault="002536BB" w:rsidP="00055889">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ביום 2</w:t>
      </w:r>
      <w:r w:rsidR="00055889">
        <w:rPr>
          <w:rFonts w:ascii="FrankRuehl" w:hAnsi="FrankRuehl" w:cs="FrankRuehl" w:hint="cs"/>
          <w:noProof w:val="0"/>
          <w:sz w:val="26"/>
          <w:szCs w:val="26"/>
          <w:rtl/>
        </w:rPr>
        <w:t>2.6.2023 נשמעו העדויות.</w:t>
      </w:r>
    </w:p>
    <w:p w:rsidR="00D85CD4" w:rsidRDefault="00D85CD4" w:rsidP="00D85CD4">
      <w:pPr>
        <w:spacing w:after="240" w:line="360" w:lineRule="auto"/>
        <w:jc w:val="both"/>
        <w:rPr>
          <w:rFonts w:ascii="FrankRuehl" w:hAnsi="FrankRuehl" w:cs="FrankRuehl"/>
          <w:noProof w:val="0"/>
          <w:sz w:val="26"/>
          <w:szCs w:val="26"/>
          <w:rtl/>
        </w:rPr>
      </w:pPr>
    </w:p>
    <w:p w:rsidR="00055889" w:rsidRPr="00A24EC5" w:rsidRDefault="00055889" w:rsidP="00055889">
      <w:pPr>
        <w:spacing w:line="360" w:lineRule="auto"/>
        <w:jc w:val="both"/>
        <w:rPr>
          <w:rFonts w:ascii="Miriam" w:hAnsi="Miriam" w:cs="Miriam"/>
          <w:b/>
          <w:bCs/>
          <w:noProof w:val="0"/>
          <w:rtl/>
        </w:rPr>
      </w:pPr>
      <w:r w:rsidRPr="00A24EC5">
        <w:rPr>
          <w:rFonts w:ascii="Miriam" w:hAnsi="Miriam" w:cs="Miriam" w:hint="cs"/>
          <w:b/>
          <w:bCs/>
          <w:noProof w:val="0"/>
          <w:rtl/>
        </w:rPr>
        <w:lastRenderedPageBreak/>
        <w:t>טענות הצדדים</w:t>
      </w:r>
    </w:p>
    <w:p w:rsidR="00B55ED8" w:rsidRDefault="00B55ED8">
      <w:pPr>
        <w:spacing w:line="360" w:lineRule="auto"/>
        <w:jc w:val="both"/>
        <w:rPr>
          <w:rFonts w:ascii="Arial" w:hAnsi="Arial"/>
          <w:noProof w:val="0"/>
          <w:rtl/>
        </w:rPr>
      </w:pPr>
    </w:p>
    <w:p w:rsidR="00055889" w:rsidRPr="00801F12" w:rsidRDefault="00801F12" w:rsidP="00801F12">
      <w:pPr>
        <w:pStyle w:val="ad"/>
        <w:numPr>
          <w:ilvl w:val="0"/>
          <w:numId w:val="1"/>
        </w:numPr>
        <w:spacing w:after="240" w:line="360" w:lineRule="auto"/>
        <w:ind w:left="714" w:hanging="357"/>
        <w:contextualSpacing w:val="0"/>
        <w:jc w:val="both"/>
        <w:rPr>
          <w:rFonts w:ascii="FrankRuehl" w:hAnsi="FrankRuehl" w:cs="FrankRuehl"/>
          <w:noProof w:val="0"/>
          <w:sz w:val="26"/>
          <w:szCs w:val="26"/>
          <w:rtl/>
        </w:rPr>
      </w:pPr>
      <w:r w:rsidRPr="00801F12">
        <w:rPr>
          <w:rFonts w:ascii="FrankRuehl" w:hAnsi="FrankRuehl" w:cs="FrankRuehl" w:hint="cs"/>
          <w:noProof w:val="0"/>
          <w:sz w:val="26"/>
          <w:szCs w:val="26"/>
          <w:rtl/>
        </w:rPr>
        <w:t>טענות התובע הן, בתמצית, כלהלן:</w:t>
      </w:r>
    </w:p>
    <w:p w:rsidR="00801F12" w:rsidRDefault="00801F12" w:rsidP="00801F12">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הצדדים היו ידועים בציבור משנת 2012 ועד נישואיהם בשנת 2020. במקביל היו הצדדים גם שותפים עסקיים.</w:t>
      </w:r>
    </w:p>
    <w:p w:rsidR="00801F12" w:rsidRDefault="00801F12" w:rsidP="00801F12">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ההסכם תקף, הן לפי הדין הישראלי והן לפי דין מקום מושבם של הצדדים, הדין הסינגפורי.</w:t>
      </w:r>
    </w:p>
    <w:p w:rsidR="00801F12" w:rsidRDefault="00801F12" w:rsidP="00622E50">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הצדדים ראו את ההסכם כמחי</w:t>
      </w:r>
      <w:r w:rsidR="00233489">
        <w:rPr>
          <w:rFonts w:ascii="FrankRuehl" w:hAnsi="FrankRuehl" w:cs="FrankRuehl" w:hint="cs"/>
          <w:noProof w:val="0"/>
          <w:sz w:val="26"/>
          <w:szCs w:val="26"/>
          <w:rtl/>
        </w:rPr>
        <w:t xml:space="preserve">יב, ואף תיעדו את חתימתו בצילום </w:t>
      </w:r>
      <w:r w:rsidR="0025639D">
        <w:rPr>
          <w:rFonts w:ascii="FrankRuehl" w:hAnsi="FrankRuehl" w:cs="FrankRuehl" w:hint="cs"/>
          <w:noProof w:val="0"/>
          <w:sz w:val="26"/>
          <w:szCs w:val="26"/>
          <w:rtl/>
        </w:rPr>
        <w:t>ווידאו</w:t>
      </w:r>
      <w:r>
        <w:rPr>
          <w:rFonts w:ascii="FrankRuehl" w:hAnsi="FrankRuehl" w:cs="FrankRuehl" w:hint="cs"/>
          <w:noProof w:val="0"/>
          <w:sz w:val="26"/>
          <w:szCs w:val="26"/>
          <w:rtl/>
        </w:rPr>
        <w:t>.</w:t>
      </w:r>
      <w:r w:rsidR="005D257C">
        <w:rPr>
          <w:rFonts w:ascii="FrankRuehl" w:hAnsi="FrankRuehl" w:cs="FrankRuehl" w:hint="cs"/>
          <w:noProof w:val="0"/>
          <w:sz w:val="26"/>
          <w:szCs w:val="26"/>
          <w:rtl/>
        </w:rPr>
        <w:t xml:space="preserve"> רצינות </w:t>
      </w:r>
      <w:r w:rsidR="003C14CF">
        <w:rPr>
          <w:rFonts w:ascii="FrankRuehl" w:hAnsi="FrankRuehl" w:cs="FrankRuehl" w:hint="cs"/>
          <w:noProof w:val="0"/>
          <w:sz w:val="26"/>
          <w:szCs w:val="26"/>
          <w:rtl/>
        </w:rPr>
        <w:t>כוונות הצדדים מתחוורת הן מתוכנו ולשונו</w:t>
      </w:r>
      <w:r w:rsidR="00FA7A0B">
        <w:rPr>
          <w:rFonts w:ascii="FrankRuehl" w:hAnsi="FrankRuehl" w:cs="FrankRuehl" w:hint="cs"/>
          <w:noProof w:val="0"/>
          <w:sz w:val="26"/>
          <w:szCs w:val="26"/>
          <w:rtl/>
        </w:rPr>
        <w:t xml:space="preserve"> של ההסכם</w:t>
      </w:r>
      <w:r w:rsidR="003C14CF">
        <w:rPr>
          <w:rFonts w:ascii="FrankRuehl" w:hAnsi="FrankRuehl" w:cs="FrankRuehl" w:hint="cs"/>
          <w:noProof w:val="0"/>
          <w:sz w:val="26"/>
          <w:szCs w:val="26"/>
          <w:rtl/>
        </w:rPr>
        <w:t>, והן מההסכמה</w:t>
      </w:r>
      <w:r w:rsidR="00FA7A0B">
        <w:rPr>
          <w:rFonts w:ascii="FrankRuehl" w:hAnsi="FrankRuehl" w:cs="FrankRuehl" w:hint="cs"/>
          <w:noProof w:val="0"/>
          <w:sz w:val="26"/>
          <w:szCs w:val="26"/>
          <w:rtl/>
        </w:rPr>
        <w:t xml:space="preserve"> לפיה שינוי של ההסכם מחייב </w:t>
      </w:r>
      <w:r w:rsidR="003C14CF">
        <w:rPr>
          <w:rFonts w:ascii="FrankRuehl" w:hAnsi="FrankRuehl" w:cs="FrankRuehl" w:hint="cs"/>
          <w:noProof w:val="0"/>
          <w:sz w:val="26"/>
          <w:szCs w:val="26"/>
          <w:rtl/>
        </w:rPr>
        <w:t>באישור נוטריוני (סעי</w:t>
      </w:r>
      <w:r w:rsidR="00622E50">
        <w:rPr>
          <w:rFonts w:ascii="FrankRuehl" w:hAnsi="FrankRuehl" w:cs="FrankRuehl" w:hint="cs"/>
          <w:noProof w:val="0"/>
          <w:sz w:val="26"/>
          <w:szCs w:val="26"/>
          <w:rtl/>
        </w:rPr>
        <w:t>פים</w:t>
      </w:r>
      <w:r w:rsidR="003C14CF">
        <w:rPr>
          <w:rFonts w:ascii="FrankRuehl" w:hAnsi="FrankRuehl" w:cs="FrankRuehl" w:hint="cs"/>
          <w:noProof w:val="0"/>
          <w:sz w:val="26"/>
          <w:szCs w:val="26"/>
          <w:rtl/>
        </w:rPr>
        <w:t xml:space="preserve"> 2.1.4 </w:t>
      </w:r>
      <w:r w:rsidR="00622E50">
        <w:rPr>
          <w:rFonts w:ascii="FrankRuehl" w:hAnsi="FrankRuehl" w:cs="FrankRuehl" w:hint="cs"/>
          <w:noProof w:val="0"/>
          <w:sz w:val="26"/>
          <w:szCs w:val="26"/>
          <w:rtl/>
        </w:rPr>
        <w:t xml:space="preserve">ו- 7 </w:t>
      </w:r>
      <w:r w:rsidR="003C14CF">
        <w:rPr>
          <w:rFonts w:ascii="FrankRuehl" w:hAnsi="FrankRuehl" w:cs="FrankRuehl" w:hint="cs"/>
          <w:noProof w:val="0"/>
          <w:sz w:val="26"/>
          <w:szCs w:val="26"/>
          <w:rtl/>
        </w:rPr>
        <w:t>להסכם).</w:t>
      </w:r>
    </w:p>
    <w:p w:rsidR="00801F12" w:rsidRDefault="00801F12" w:rsidP="00801F12">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התובע היה מנטור של הנתבעת במיזמים בהם היו מעורבים, והיה המומחה בתחום בו עסקו. רוב ההון נצבר בזכות רע</w:t>
      </w:r>
      <w:r w:rsidR="009B3313">
        <w:rPr>
          <w:rFonts w:ascii="FrankRuehl" w:hAnsi="FrankRuehl" w:cs="FrankRuehl" w:hint="cs"/>
          <w:noProof w:val="0"/>
          <w:sz w:val="26"/>
          <w:szCs w:val="26"/>
          <w:rtl/>
        </w:rPr>
        <w:t xml:space="preserve">יונות </w:t>
      </w:r>
      <w:r w:rsidR="00D85CD4">
        <w:rPr>
          <w:rFonts w:ascii="FrankRuehl" w:hAnsi="FrankRuehl" w:cs="FrankRuehl" w:hint="cs"/>
          <w:noProof w:val="0"/>
          <w:sz w:val="26"/>
          <w:szCs w:val="26"/>
          <w:rtl/>
        </w:rPr>
        <w:t xml:space="preserve">וקשרים של התובע. לכן חלוקת ההון, שנקבעה בהסכם, </w:t>
      </w:r>
      <w:r w:rsidR="009B3313">
        <w:rPr>
          <w:rFonts w:ascii="FrankRuehl" w:hAnsi="FrankRuehl" w:cs="FrankRuehl" w:hint="cs"/>
          <w:noProof w:val="0"/>
          <w:sz w:val="26"/>
          <w:szCs w:val="26"/>
          <w:rtl/>
        </w:rPr>
        <w:t>בשיעור של 80% התובע ו- 20% הנתבעת</w:t>
      </w:r>
      <w:r w:rsidR="00D85CD4">
        <w:rPr>
          <w:rFonts w:ascii="FrankRuehl" w:hAnsi="FrankRuehl" w:cs="FrankRuehl" w:hint="cs"/>
          <w:noProof w:val="0"/>
          <w:sz w:val="26"/>
          <w:szCs w:val="26"/>
          <w:rtl/>
        </w:rPr>
        <w:t>,</w:t>
      </w:r>
      <w:r w:rsidR="009B3313">
        <w:rPr>
          <w:rFonts w:ascii="FrankRuehl" w:hAnsi="FrankRuehl" w:cs="FrankRuehl" w:hint="cs"/>
          <w:noProof w:val="0"/>
          <w:sz w:val="26"/>
          <w:szCs w:val="26"/>
          <w:rtl/>
        </w:rPr>
        <w:t xml:space="preserve"> ה</w:t>
      </w:r>
      <w:r w:rsidR="00233489">
        <w:rPr>
          <w:rFonts w:ascii="FrankRuehl" w:hAnsi="FrankRuehl" w:cs="FrankRuehl" w:hint="cs"/>
          <w:noProof w:val="0"/>
          <w:sz w:val="26"/>
          <w:szCs w:val="26"/>
          <w:rtl/>
        </w:rPr>
        <w:t>י</w:t>
      </w:r>
      <w:r w:rsidR="009B3313">
        <w:rPr>
          <w:rFonts w:ascii="FrankRuehl" w:hAnsi="FrankRuehl" w:cs="FrankRuehl" w:hint="cs"/>
          <w:noProof w:val="0"/>
          <w:sz w:val="26"/>
          <w:szCs w:val="26"/>
          <w:rtl/>
        </w:rPr>
        <w:t>י</w:t>
      </w:r>
      <w:r w:rsidR="00D85CD4">
        <w:rPr>
          <w:rFonts w:ascii="FrankRuehl" w:hAnsi="FrankRuehl" w:cs="FrankRuehl" w:hint="cs"/>
          <w:noProof w:val="0"/>
          <w:sz w:val="26"/>
          <w:szCs w:val="26"/>
          <w:rtl/>
        </w:rPr>
        <w:t>ת</w:t>
      </w:r>
      <w:r w:rsidR="009B3313">
        <w:rPr>
          <w:rFonts w:ascii="FrankRuehl" w:hAnsi="FrankRuehl" w:cs="FrankRuehl" w:hint="cs"/>
          <w:noProof w:val="0"/>
          <w:sz w:val="26"/>
          <w:szCs w:val="26"/>
          <w:rtl/>
        </w:rPr>
        <w:t>ה הגיוני.</w:t>
      </w:r>
    </w:p>
    <w:p w:rsidR="005D257C" w:rsidRDefault="005D257C" w:rsidP="003C14CF">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הדין החל על ההסכם הוא הד</w:t>
      </w:r>
      <w:r w:rsidR="003C14CF">
        <w:rPr>
          <w:rFonts w:ascii="FrankRuehl" w:hAnsi="FrankRuehl" w:cs="FrankRuehl" w:hint="cs"/>
          <w:noProof w:val="0"/>
          <w:sz w:val="26"/>
          <w:szCs w:val="26"/>
          <w:rtl/>
        </w:rPr>
        <w:t>י</w:t>
      </w:r>
      <w:r>
        <w:rPr>
          <w:rFonts w:ascii="FrankRuehl" w:hAnsi="FrankRuehl" w:cs="FrankRuehl" w:hint="cs"/>
          <w:noProof w:val="0"/>
          <w:sz w:val="26"/>
          <w:szCs w:val="26"/>
          <w:rtl/>
        </w:rPr>
        <w:t>ן הישראלי, כאמור בסעיף 5 להסכם.</w:t>
      </w:r>
    </w:p>
    <w:p w:rsidR="009B3313" w:rsidRDefault="009B3313" w:rsidP="005017E9">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הצדדים לא השתקעו בסינגפור, אלא שהו בה בשל המענקים</w:t>
      </w:r>
      <w:r w:rsidR="005017E9">
        <w:rPr>
          <w:rFonts w:ascii="FrankRuehl" w:hAnsi="FrankRuehl" w:cs="FrankRuehl" w:hint="cs"/>
          <w:noProof w:val="0"/>
          <w:sz w:val="26"/>
          <w:szCs w:val="26"/>
          <w:rtl/>
        </w:rPr>
        <w:t>. הצדדים רצו להשתקע בישראל או בארצות הברית, ופעלו לשם כך, לרבות חיפוש בית לרכישה בישראל ורכישת בית ורכב בארצות הברית.</w:t>
      </w:r>
    </w:p>
    <w:p w:rsidR="005017E9" w:rsidRPr="00801F12" w:rsidRDefault="005017E9" w:rsidP="005017E9">
      <w:pPr>
        <w:pStyle w:val="ad"/>
        <w:numPr>
          <w:ilvl w:val="1"/>
          <w:numId w:val="1"/>
        </w:numPr>
        <w:spacing w:after="240" w:line="360" w:lineRule="auto"/>
        <w:ind w:left="1134" w:hanging="567"/>
        <w:contextualSpacing w:val="0"/>
        <w:jc w:val="both"/>
        <w:rPr>
          <w:rFonts w:ascii="FrankRuehl" w:hAnsi="FrankRuehl" w:cs="FrankRuehl"/>
          <w:noProof w:val="0"/>
          <w:sz w:val="26"/>
          <w:szCs w:val="26"/>
          <w:rtl/>
        </w:rPr>
      </w:pPr>
      <w:r>
        <w:rPr>
          <w:rFonts w:ascii="FrankRuehl" w:hAnsi="FrankRuehl" w:cs="FrankRuehl" w:hint="cs"/>
          <w:noProof w:val="0"/>
          <w:sz w:val="26"/>
          <w:szCs w:val="26"/>
          <w:rtl/>
        </w:rPr>
        <w:t>גם בהסכמים אחרים עליהם חתמה הנתבעת קיימת תניית שיפוט בישראל.</w:t>
      </w:r>
    </w:p>
    <w:p w:rsidR="00B55ED8" w:rsidRDefault="00FA7A0B" w:rsidP="00801F12">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טענות הנתבעת הן, בתמצית, כלהלן:</w:t>
      </w:r>
    </w:p>
    <w:p w:rsidR="00FA7A0B" w:rsidRDefault="009757CA" w:rsidP="009757CA">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מרכז חייהם של הצדדים היה בסינגפור, שם גם נישאו.</w:t>
      </w:r>
      <w:r w:rsidR="00F90BDA">
        <w:rPr>
          <w:rFonts w:ascii="FrankRuehl" w:hAnsi="FrankRuehl" w:cs="FrankRuehl" w:hint="cs"/>
          <w:noProof w:val="0"/>
          <w:sz w:val="26"/>
          <w:szCs w:val="26"/>
          <w:rtl/>
        </w:rPr>
        <w:t xml:space="preserve"> לפיכך, בית המשפט אינו הפורום הנאות לדון בתביעה, למרות תניית השיפוט הכלולה בהסכם.</w:t>
      </w:r>
      <w:r w:rsidR="00AA7C12">
        <w:rPr>
          <w:rFonts w:ascii="FrankRuehl" w:hAnsi="FrankRuehl" w:cs="FrankRuehl" w:hint="cs"/>
          <w:noProof w:val="0"/>
          <w:sz w:val="26"/>
          <w:szCs w:val="26"/>
          <w:rtl/>
        </w:rPr>
        <w:t xml:space="preserve"> יתירה מזו, לא מדובר בתניית שיפוטי ייחודית אלא בתניית שיפוט מקבילה.</w:t>
      </w:r>
    </w:p>
    <w:p w:rsidR="009757CA" w:rsidRDefault="009757CA" w:rsidP="009757CA">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בין הצדדים נהגה הפרדה רכושית מלאה.</w:t>
      </w:r>
    </w:p>
    <w:p w:rsidR="00D0462E" w:rsidRDefault="009757CA" w:rsidP="00D85CD4">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ההסכם נעדר את גמירות</w:t>
      </w:r>
      <w:r w:rsidR="00D85CD4">
        <w:rPr>
          <w:rFonts w:ascii="FrankRuehl" w:hAnsi="FrankRuehl" w:cs="FrankRuehl" w:hint="cs"/>
          <w:noProof w:val="0"/>
          <w:sz w:val="26"/>
          <w:szCs w:val="26"/>
          <w:rtl/>
        </w:rPr>
        <w:t>,</w:t>
      </w:r>
      <w:r>
        <w:rPr>
          <w:rFonts w:ascii="FrankRuehl" w:hAnsi="FrankRuehl" w:cs="FrankRuehl" w:hint="cs"/>
          <w:noProof w:val="0"/>
          <w:sz w:val="26"/>
          <w:szCs w:val="26"/>
          <w:rtl/>
        </w:rPr>
        <w:t xml:space="preserve"> הדעת המתחייבת ולכן אינו תקף. </w:t>
      </w:r>
      <w:r w:rsidR="00F90BDA">
        <w:rPr>
          <w:rFonts w:ascii="FrankRuehl" w:hAnsi="FrankRuehl" w:cs="FrankRuehl" w:hint="cs"/>
          <w:noProof w:val="0"/>
          <w:sz w:val="26"/>
          <w:szCs w:val="26"/>
          <w:rtl/>
        </w:rPr>
        <w:t xml:space="preserve">הדבר מתחוור </w:t>
      </w:r>
      <w:r w:rsidR="00D0462E">
        <w:rPr>
          <w:rFonts w:ascii="FrankRuehl" w:hAnsi="FrankRuehl" w:cs="FrankRuehl" w:hint="cs"/>
          <w:noProof w:val="0"/>
          <w:sz w:val="26"/>
          <w:szCs w:val="26"/>
          <w:rtl/>
        </w:rPr>
        <w:t>הן</w:t>
      </w:r>
      <w:r w:rsidR="00F90BDA">
        <w:rPr>
          <w:rFonts w:ascii="FrankRuehl" w:hAnsi="FrankRuehl" w:cs="FrankRuehl" w:hint="cs"/>
          <w:noProof w:val="0"/>
          <w:sz w:val="26"/>
          <w:szCs w:val="26"/>
          <w:rtl/>
        </w:rPr>
        <w:t xml:space="preserve"> מסעיף 1.4 להסכם, העוסק בנושאים מיניים</w:t>
      </w:r>
      <w:r w:rsidR="00D0462E">
        <w:rPr>
          <w:rFonts w:ascii="FrankRuehl" w:hAnsi="FrankRuehl" w:cs="FrankRuehl" w:hint="cs"/>
          <w:noProof w:val="0"/>
          <w:sz w:val="26"/>
          <w:szCs w:val="26"/>
          <w:rtl/>
        </w:rPr>
        <w:t>, הן מכינויי הצדדים בהסכם, והן מהעובדה, שהתובע לא שמר עותק מקורי של ההסכם</w:t>
      </w:r>
      <w:r w:rsidR="00F90BDA">
        <w:rPr>
          <w:rFonts w:ascii="FrankRuehl" w:hAnsi="FrankRuehl" w:cs="FrankRuehl" w:hint="cs"/>
          <w:noProof w:val="0"/>
          <w:sz w:val="26"/>
          <w:szCs w:val="26"/>
          <w:rtl/>
        </w:rPr>
        <w:t>.</w:t>
      </w:r>
      <w:r w:rsidR="00D0462E">
        <w:rPr>
          <w:rFonts w:ascii="FrankRuehl" w:hAnsi="FrankRuehl" w:cs="FrankRuehl" w:hint="cs"/>
          <w:noProof w:val="0"/>
          <w:sz w:val="26"/>
          <w:szCs w:val="26"/>
          <w:rtl/>
        </w:rPr>
        <w:t xml:space="preserve"> </w:t>
      </w:r>
      <w:r w:rsidR="00F90BDA">
        <w:rPr>
          <w:rFonts w:ascii="FrankRuehl" w:hAnsi="FrankRuehl" w:cs="FrankRuehl" w:hint="cs"/>
          <w:noProof w:val="0"/>
          <w:sz w:val="26"/>
          <w:szCs w:val="26"/>
          <w:rtl/>
        </w:rPr>
        <w:t xml:space="preserve"> </w:t>
      </w:r>
    </w:p>
    <w:p w:rsidR="009757CA" w:rsidRDefault="00F90BDA" w:rsidP="00D0462E">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lastRenderedPageBreak/>
        <w:t xml:space="preserve">ההסכם אינו בר אכיפה, גם מטעמים חוזיים אחרים. </w:t>
      </w:r>
    </w:p>
    <w:p w:rsidR="009757CA" w:rsidRDefault="009757CA" w:rsidP="00D85CD4">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לחילופין, תוקפו של ההסכם פ</w:t>
      </w:r>
      <w:r w:rsidR="00D85CD4">
        <w:rPr>
          <w:rFonts w:ascii="FrankRuehl" w:hAnsi="FrankRuehl" w:cs="FrankRuehl" w:hint="cs"/>
          <w:noProof w:val="0"/>
          <w:sz w:val="26"/>
          <w:szCs w:val="26"/>
          <w:rtl/>
        </w:rPr>
        <w:t>קע,</w:t>
      </w:r>
      <w:r>
        <w:rPr>
          <w:rFonts w:ascii="FrankRuehl" w:hAnsi="FrankRuehl" w:cs="FrankRuehl" w:hint="cs"/>
          <w:noProof w:val="0"/>
          <w:sz w:val="26"/>
          <w:szCs w:val="26"/>
          <w:rtl/>
        </w:rPr>
        <w:t xml:space="preserve"> עם נישואי הצדדים.</w:t>
      </w:r>
    </w:p>
    <w:p w:rsidR="00D0462E" w:rsidRDefault="00D0462E" w:rsidP="009757CA">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ההסכם נעדר היגיון, מאחר שהנתבעת היא היחידה שצברה הון, בעוד התובע היה בטלן. חוסר היגיון זה מחריף, לנוכח הוראות ההסכם</w:t>
      </w:r>
      <w:r w:rsidR="00D85CD4">
        <w:rPr>
          <w:rFonts w:ascii="FrankRuehl" w:hAnsi="FrankRuehl" w:cs="FrankRuehl" w:hint="cs"/>
          <w:noProof w:val="0"/>
          <w:sz w:val="26"/>
          <w:szCs w:val="26"/>
          <w:rtl/>
        </w:rPr>
        <w:t>,</w:t>
      </w:r>
      <w:r>
        <w:rPr>
          <w:rFonts w:ascii="FrankRuehl" w:hAnsi="FrankRuehl" w:cs="FrankRuehl" w:hint="cs"/>
          <w:noProof w:val="0"/>
          <w:sz w:val="26"/>
          <w:szCs w:val="26"/>
          <w:rtl/>
        </w:rPr>
        <w:t xml:space="preserve"> הצופות חלוקה רכושית גם לאחר פרידה.</w:t>
      </w:r>
      <w:r w:rsidR="00AA7C12">
        <w:rPr>
          <w:rFonts w:ascii="FrankRuehl" w:hAnsi="FrankRuehl" w:cs="FrankRuehl" w:hint="cs"/>
          <w:noProof w:val="0"/>
          <w:sz w:val="26"/>
          <w:szCs w:val="26"/>
          <w:rtl/>
        </w:rPr>
        <w:t xml:space="preserve"> לחילופין, בבטלנותו</w:t>
      </w:r>
      <w:r w:rsidR="00D85CD4">
        <w:rPr>
          <w:rFonts w:ascii="FrankRuehl" w:hAnsi="FrankRuehl" w:cs="FrankRuehl" w:hint="cs"/>
          <w:noProof w:val="0"/>
          <w:sz w:val="26"/>
          <w:szCs w:val="26"/>
          <w:rtl/>
        </w:rPr>
        <w:t>,</w:t>
      </w:r>
      <w:r w:rsidR="00AA7C12">
        <w:rPr>
          <w:rFonts w:ascii="FrankRuehl" w:hAnsi="FrankRuehl" w:cs="FrankRuehl" w:hint="cs"/>
          <w:noProof w:val="0"/>
          <w:sz w:val="26"/>
          <w:szCs w:val="26"/>
          <w:rtl/>
        </w:rPr>
        <w:t xml:space="preserve"> הפר התובע את ההסכם הפרה יסודית.</w:t>
      </w:r>
    </w:p>
    <w:p w:rsidR="00AA7C12" w:rsidRPr="00A24EC5" w:rsidRDefault="00AA7C12" w:rsidP="00AA7C12">
      <w:pPr>
        <w:spacing w:line="360" w:lineRule="auto"/>
        <w:jc w:val="both"/>
        <w:rPr>
          <w:rFonts w:ascii="Miriam" w:hAnsi="Miriam" w:cs="Miriam"/>
          <w:b/>
          <w:bCs/>
          <w:noProof w:val="0"/>
          <w:rtl/>
        </w:rPr>
      </w:pPr>
      <w:r w:rsidRPr="00A24EC5">
        <w:rPr>
          <w:rFonts w:ascii="Miriam" w:hAnsi="Miriam" w:cs="Miriam" w:hint="cs"/>
          <w:b/>
          <w:bCs/>
          <w:noProof w:val="0"/>
          <w:rtl/>
        </w:rPr>
        <w:t>דיון והכרעה</w:t>
      </w:r>
    </w:p>
    <w:p w:rsidR="00B55ED8" w:rsidRDefault="00B55ED8">
      <w:pPr>
        <w:spacing w:line="360" w:lineRule="auto"/>
        <w:jc w:val="both"/>
        <w:rPr>
          <w:rFonts w:ascii="Arial" w:hAnsi="Arial"/>
          <w:noProof w:val="0"/>
          <w:rtl/>
        </w:rPr>
      </w:pPr>
    </w:p>
    <w:p w:rsidR="00A24EC5" w:rsidRPr="00A24EC5" w:rsidRDefault="00A24EC5">
      <w:pPr>
        <w:spacing w:line="360" w:lineRule="auto"/>
        <w:jc w:val="both"/>
        <w:rPr>
          <w:rFonts w:ascii="Miriam" w:hAnsi="Miriam" w:cs="Miriam"/>
          <w:noProof w:val="0"/>
          <w:rtl/>
        </w:rPr>
      </w:pPr>
      <w:r w:rsidRPr="00A24EC5">
        <w:rPr>
          <w:rFonts w:ascii="Miriam" w:hAnsi="Miriam" w:cs="Miriam"/>
          <w:noProof w:val="0"/>
          <w:rtl/>
        </w:rPr>
        <w:t>טענת הפורום</w:t>
      </w:r>
    </w:p>
    <w:p w:rsidR="00A24EC5" w:rsidRDefault="00A24EC5">
      <w:pPr>
        <w:spacing w:line="360" w:lineRule="auto"/>
        <w:jc w:val="both"/>
        <w:rPr>
          <w:rFonts w:ascii="Arial" w:hAnsi="Arial"/>
          <w:noProof w:val="0"/>
          <w:rtl/>
        </w:rPr>
      </w:pPr>
    </w:p>
    <w:p w:rsidR="00582F2A" w:rsidRDefault="00AA7C12" w:rsidP="00D85CD4">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sidRPr="00662A29">
        <w:rPr>
          <w:rFonts w:ascii="FrankRuehl" w:hAnsi="FrankRuehl" w:cs="FrankRuehl" w:hint="cs"/>
          <w:noProof w:val="0"/>
          <w:sz w:val="26"/>
          <w:szCs w:val="26"/>
          <w:rtl/>
        </w:rPr>
        <w:t>אין חולק</w:t>
      </w:r>
      <w:r w:rsidR="00662A29">
        <w:rPr>
          <w:rFonts w:ascii="FrankRuehl" w:hAnsi="FrankRuehl" w:cs="FrankRuehl" w:hint="cs"/>
          <w:noProof w:val="0"/>
          <w:sz w:val="26"/>
          <w:szCs w:val="26"/>
          <w:rtl/>
        </w:rPr>
        <w:t>,</w:t>
      </w:r>
      <w:r w:rsidRPr="00662A29">
        <w:rPr>
          <w:rFonts w:ascii="FrankRuehl" w:hAnsi="FrankRuehl" w:cs="FrankRuehl" w:hint="cs"/>
          <w:noProof w:val="0"/>
          <w:sz w:val="26"/>
          <w:szCs w:val="26"/>
          <w:rtl/>
        </w:rPr>
        <w:t xml:space="preserve"> שבית משפט </w:t>
      </w:r>
      <w:r w:rsidR="00D85CD4">
        <w:rPr>
          <w:rFonts w:ascii="FrankRuehl" w:hAnsi="FrankRuehl" w:cs="FrankRuehl" w:hint="cs"/>
          <w:noProof w:val="0"/>
          <w:sz w:val="26"/>
          <w:szCs w:val="26"/>
          <w:rtl/>
        </w:rPr>
        <w:t xml:space="preserve">זה רכש </w:t>
      </w:r>
      <w:r w:rsidRPr="00662A29">
        <w:rPr>
          <w:rFonts w:ascii="FrankRuehl" w:hAnsi="FrankRuehl" w:cs="FrankRuehl" w:hint="cs"/>
          <w:noProof w:val="0"/>
          <w:sz w:val="26"/>
          <w:szCs w:val="26"/>
          <w:rtl/>
        </w:rPr>
        <w:t>סמכות</w:t>
      </w:r>
      <w:r w:rsidR="0003641F">
        <w:rPr>
          <w:rFonts w:ascii="FrankRuehl" w:hAnsi="FrankRuehl" w:cs="FrankRuehl" w:hint="cs"/>
          <w:noProof w:val="0"/>
          <w:sz w:val="26"/>
          <w:szCs w:val="26"/>
          <w:rtl/>
        </w:rPr>
        <w:t>,</w:t>
      </w:r>
      <w:r w:rsidRPr="00662A29">
        <w:rPr>
          <w:rFonts w:ascii="FrankRuehl" w:hAnsi="FrankRuehl" w:cs="FrankRuehl" w:hint="cs"/>
          <w:noProof w:val="0"/>
          <w:sz w:val="26"/>
          <w:szCs w:val="26"/>
          <w:rtl/>
        </w:rPr>
        <w:t xml:space="preserve"> מכוח ביצוע מסירה כדין (</w:t>
      </w:r>
      <w:r w:rsidR="00345107">
        <w:rPr>
          <w:rFonts w:ascii="FrankRuehl" w:hAnsi="FrankRuehl" w:cs="FrankRuehl" w:hint="cs"/>
          <w:noProof w:val="0"/>
          <w:sz w:val="26"/>
          <w:szCs w:val="26"/>
          <w:rtl/>
        </w:rPr>
        <w:t xml:space="preserve">ר', למשל, </w:t>
      </w:r>
      <w:r w:rsidR="00662A29" w:rsidRPr="00662A29">
        <w:rPr>
          <w:rFonts w:ascii="FrankRuehl" w:hAnsi="FrankRuehl" w:cs="FrankRuehl"/>
          <w:noProof w:val="0"/>
          <w:sz w:val="26"/>
          <w:szCs w:val="26"/>
          <w:rtl/>
        </w:rPr>
        <w:t xml:space="preserve">ע"א 4601/02 </w:t>
      </w:r>
      <w:r w:rsidR="00662A29" w:rsidRPr="00F4325A">
        <w:rPr>
          <w:rFonts w:ascii="FrankRuehl" w:hAnsi="FrankRuehl" w:cs="FrankRuehl"/>
          <w:b/>
          <w:bCs/>
          <w:noProof w:val="0"/>
          <w:sz w:val="26"/>
          <w:szCs w:val="26"/>
          <w:rtl/>
        </w:rPr>
        <w:t>ראדא תעשיות אלקטרוניות בע"מ נ</w:t>
      </w:r>
      <w:r w:rsidR="00662A29" w:rsidRPr="00F4325A">
        <w:rPr>
          <w:rFonts w:ascii="FrankRuehl" w:hAnsi="FrankRuehl" w:cs="FrankRuehl"/>
          <w:b/>
          <w:bCs/>
          <w:noProof w:val="0"/>
          <w:sz w:val="26"/>
          <w:szCs w:val="26"/>
        </w:rPr>
        <w:t>Bodstray Company Ltd .</w:t>
      </w:r>
      <w:r w:rsidR="00662A29">
        <w:rPr>
          <w:rFonts w:ascii="FrankRuehl" w:hAnsi="FrankRuehl" w:cs="FrankRuehl" w:hint="cs"/>
          <w:noProof w:val="0"/>
          <w:sz w:val="26"/>
          <w:szCs w:val="26"/>
          <w:rtl/>
        </w:rPr>
        <w:t xml:space="preserve">, פ"ד </w:t>
      </w:r>
      <w:r w:rsidR="00662A29" w:rsidRPr="00662A29">
        <w:rPr>
          <w:rFonts w:ascii="FrankRuehl" w:hAnsi="FrankRuehl" w:cs="FrankRuehl"/>
          <w:noProof w:val="0"/>
          <w:sz w:val="26"/>
          <w:szCs w:val="26"/>
          <w:rtl/>
        </w:rPr>
        <w:t>נח(2) 465</w:t>
      </w:r>
      <w:r w:rsidR="00662A29">
        <w:rPr>
          <w:rFonts w:ascii="FrankRuehl" w:hAnsi="FrankRuehl" w:cs="FrankRuehl" w:hint="cs"/>
          <w:noProof w:val="0"/>
          <w:sz w:val="26"/>
          <w:szCs w:val="26"/>
          <w:rtl/>
        </w:rPr>
        <w:t xml:space="preserve">, 471 </w:t>
      </w:r>
      <w:r w:rsidR="00662A29" w:rsidRPr="00662A29">
        <w:rPr>
          <w:rFonts w:ascii="FrankRuehl" w:hAnsi="FrankRuehl" w:cs="FrankRuehl"/>
          <w:noProof w:val="0"/>
          <w:sz w:val="26"/>
          <w:szCs w:val="26"/>
        </w:rPr>
        <w:t>(2004)</w:t>
      </w:r>
      <w:r w:rsidR="00662A29">
        <w:rPr>
          <w:rFonts w:ascii="FrankRuehl" w:hAnsi="FrankRuehl" w:cs="FrankRuehl" w:hint="cs"/>
          <w:noProof w:val="0"/>
          <w:sz w:val="26"/>
          <w:szCs w:val="26"/>
          <w:rtl/>
        </w:rPr>
        <w:t xml:space="preserve">, להלן: </w:t>
      </w:r>
      <w:r w:rsidR="00662A29" w:rsidRPr="00662A29">
        <w:rPr>
          <w:rFonts w:asciiTheme="minorBidi" w:hAnsiTheme="minorBidi" w:cstheme="minorBidi"/>
          <w:noProof w:val="0"/>
          <w:rtl/>
        </w:rPr>
        <w:t>עניין ראדה</w:t>
      </w:r>
      <w:r w:rsidR="00662A29">
        <w:rPr>
          <w:rFonts w:ascii="FrankRuehl" w:hAnsi="FrankRuehl" w:cs="FrankRuehl" w:hint="cs"/>
          <w:noProof w:val="0"/>
          <w:sz w:val="26"/>
          <w:szCs w:val="26"/>
          <w:rtl/>
        </w:rPr>
        <w:t>). המחלוקת היא, האם</w:t>
      </w:r>
      <w:r w:rsidR="00F4325A">
        <w:rPr>
          <w:rFonts w:ascii="FrankRuehl" w:hAnsi="FrankRuehl" w:cs="FrankRuehl" w:hint="cs"/>
          <w:noProof w:val="0"/>
          <w:sz w:val="26"/>
          <w:szCs w:val="26"/>
          <w:rtl/>
        </w:rPr>
        <w:t xml:space="preserve"> ראוי שבית המשפט ימשוך את ידו מלדון</w:t>
      </w:r>
      <w:r w:rsidR="00662A29">
        <w:rPr>
          <w:rFonts w:ascii="FrankRuehl" w:hAnsi="FrankRuehl" w:cs="FrankRuehl" w:hint="cs"/>
          <w:noProof w:val="0"/>
          <w:sz w:val="26"/>
          <w:szCs w:val="26"/>
          <w:rtl/>
        </w:rPr>
        <w:t xml:space="preserve"> בתביעה, מאחר שערכאות בסינגפור הן הפורום הנאות לדון בה. זאת, הגם שההסכם כולל תניית שיפוט, </w:t>
      </w:r>
      <w:r w:rsidR="00582F2A">
        <w:rPr>
          <w:rFonts w:ascii="FrankRuehl" w:hAnsi="FrankRuehl" w:cs="FrankRuehl" w:hint="cs"/>
          <w:noProof w:val="0"/>
          <w:sz w:val="26"/>
          <w:szCs w:val="26"/>
          <w:rtl/>
        </w:rPr>
        <w:t>לאמור:</w:t>
      </w:r>
    </w:p>
    <w:p w:rsidR="00582F2A" w:rsidRPr="002832C1" w:rsidRDefault="00582F2A" w:rsidP="007320E8">
      <w:pPr>
        <w:bidi w:val="0"/>
        <w:spacing w:after="240" w:line="360" w:lineRule="auto"/>
        <w:ind w:left="850" w:right="992"/>
        <w:jc w:val="both"/>
        <w:rPr>
          <w:rFonts w:ascii="FrankRuehl" w:hAnsi="FrankRuehl" w:cs="FrankRuehl"/>
          <w:noProof w:val="0"/>
        </w:rPr>
      </w:pPr>
      <w:r>
        <w:rPr>
          <w:rFonts w:ascii="FrankRuehl" w:hAnsi="FrankRuehl" w:cs="FrankRuehl" w:hint="cs"/>
          <w:noProof w:val="0"/>
          <w:sz w:val="26"/>
          <w:szCs w:val="26"/>
          <w:rtl/>
        </w:rPr>
        <w:t>"</w:t>
      </w:r>
      <w:r w:rsidRPr="002832C1">
        <w:rPr>
          <w:rFonts w:ascii="FrankRuehl" w:hAnsi="FrankRuehl" w:cs="FrankRuehl"/>
          <w:b/>
          <w:bCs/>
          <w:noProof w:val="0"/>
        </w:rPr>
        <w:t>Governing L</w:t>
      </w:r>
      <w:r w:rsidR="007320E8" w:rsidRPr="002832C1">
        <w:rPr>
          <w:rFonts w:ascii="FrankRuehl" w:hAnsi="FrankRuehl" w:cs="FrankRuehl"/>
          <w:b/>
          <w:bCs/>
          <w:noProof w:val="0"/>
        </w:rPr>
        <w:t>aw: this agreement shall be governed by, constructed and enforced</w:t>
      </w:r>
      <w:r w:rsidR="007320E8" w:rsidRPr="002832C1">
        <w:rPr>
          <w:rFonts w:ascii="FrankRuehl" w:hAnsi="FrankRuehl" w:cs="FrankRuehl" w:hint="cs"/>
          <w:b/>
          <w:bCs/>
          <w:noProof w:val="0"/>
          <w:rtl/>
        </w:rPr>
        <w:t xml:space="preserve"> </w:t>
      </w:r>
      <w:r w:rsidR="007320E8" w:rsidRPr="002832C1">
        <w:rPr>
          <w:rFonts w:ascii="FrankRuehl" w:hAnsi="FrankRuehl" w:cs="FrankRuehl"/>
          <w:b/>
          <w:bCs/>
          <w:noProof w:val="0"/>
        </w:rPr>
        <w:t>in accordance with the laws of Israel. It will be adjudicate</w:t>
      </w:r>
      <w:r w:rsidR="002337F9" w:rsidRPr="002832C1">
        <w:rPr>
          <w:rFonts w:ascii="FrankRuehl" w:hAnsi="FrankRuehl" w:cs="FrankRuehl"/>
          <w:b/>
          <w:bCs/>
          <w:noProof w:val="0"/>
        </w:rPr>
        <w:t>d</w:t>
      </w:r>
      <w:r w:rsidR="007320E8" w:rsidRPr="002832C1">
        <w:rPr>
          <w:rFonts w:ascii="FrankRuehl" w:hAnsi="FrankRuehl" w:cs="FrankRuehl"/>
          <w:b/>
          <w:bCs/>
          <w:noProof w:val="0"/>
        </w:rPr>
        <w:t xml:space="preserve"> in Israel and shall be binding wo</w:t>
      </w:r>
      <w:r w:rsidR="002337F9" w:rsidRPr="002832C1">
        <w:rPr>
          <w:rFonts w:ascii="FrankRuehl" w:hAnsi="FrankRuehl" w:cs="FrankRuehl"/>
          <w:b/>
          <w:bCs/>
          <w:noProof w:val="0"/>
        </w:rPr>
        <w:t>rldwide</w:t>
      </w:r>
      <w:r w:rsidR="002337F9" w:rsidRPr="002832C1">
        <w:rPr>
          <w:rFonts w:ascii="FrankRuehl" w:hAnsi="FrankRuehl" w:cs="FrankRuehl"/>
          <w:noProof w:val="0"/>
        </w:rPr>
        <w:t xml:space="preserve">." </w:t>
      </w:r>
    </w:p>
    <w:p w:rsidR="00B55ED8" w:rsidRDefault="002337F9" w:rsidP="00E070B1">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א</w:t>
      </w:r>
      <w:r w:rsidR="00DC6FE6">
        <w:rPr>
          <w:rFonts w:ascii="FrankRuehl" w:hAnsi="FrankRuehl" w:cs="FrankRuehl" w:hint="cs"/>
          <w:noProof w:val="0"/>
          <w:sz w:val="26"/>
          <w:szCs w:val="26"/>
          <w:rtl/>
        </w:rPr>
        <w:t xml:space="preserve">ת סוגיית הפורום הנאות יש לחלק לכמה </w:t>
      </w:r>
      <w:r w:rsidR="00BC7C53">
        <w:rPr>
          <w:rFonts w:ascii="FrankRuehl" w:hAnsi="FrankRuehl" w:cs="FrankRuehl" w:hint="cs"/>
          <w:noProof w:val="0"/>
          <w:sz w:val="26"/>
          <w:szCs w:val="26"/>
          <w:rtl/>
        </w:rPr>
        <w:t>שאלות</w:t>
      </w:r>
      <w:r w:rsidR="00DC6FE6">
        <w:rPr>
          <w:rFonts w:ascii="FrankRuehl" w:hAnsi="FrankRuehl" w:cs="FrankRuehl" w:hint="cs"/>
          <w:noProof w:val="0"/>
          <w:sz w:val="26"/>
          <w:szCs w:val="26"/>
          <w:rtl/>
        </w:rPr>
        <w:t xml:space="preserve"> משנה: האם מדובר בתניית שיפוט ייחודית? </w:t>
      </w:r>
      <w:r w:rsidR="00E070B1">
        <w:rPr>
          <w:rFonts w:ascii="FrankRuehl" w:hAnsi="FrankRuehl" w:cs="FrankRuehl" w:hint="cs"/>
          <w:noProof w:val="0"/>
          <w:sz w:val="26"/>
          <w:szCs w:val="26"/>
          <w:rtl/>
        </w:rPr>
        <w:t xml:space="preserve">ככל שכך, </w:t>
      </w:r>
      <w:r w:rsidR="00DC6FE6">
        <w:rPr>
          <w:rFonts w:ascii="FrankRuehl" w:hAnsi="FrankRuehl" w:cs="FrankRuehl" w:hint="cs"/>
          <w:noProof w:val="0"/>
          <w:sz w:val="26"/>
          <w:szCs w:val="26"/>
          <w:rtl/>
        </w:rPr>
        <w:t xml:space="preserve">האם תניית השיפוט בת אכיפה? </w:t>
      </w:r>
      <w:r w:rsidR="00E070B1">
        <w:rPr>
          <w:rFonts w:ascii="FrankRuehl" w:hAnsi="FrankRuehl" w:cs="FrankRuehl" w:hint="cs"/>
          <w:noProof w:val="0"/>
          <w:sz w:val="26"/>
          <w:szCs w:val="26"/>
          <w:rtl/>
        </w:rPr>
        <w:t xml:space="preserve">ככל שכך, </w:t>
      </w:r>
      <w:r w:rsidR="00DC6FE6">
        <w:rPr>
          <w:rFonts w:ascii="FrankRuehl" w:hAnsi="FrankRuehl" w:cs="FrankRuehl" w:hint="cs"/>
          <w:noProof w:val="0"/>
          <w:sz w:val="26"/>
          <w:szCs w:val="26"/>
          <w:rtl/>
        </w:rPr>
        <w:t>האם הונחו טעמים לא לדון בתביעה, למרות תניית השיפוט?</w:t>
      </w:r>
      <w:r w:rsidR="00BC7C53">
        <w:rPr>
          <w:rFonts w:ascii="FrankRuehl" w:hAnsi="FrankRuehl" w:cs="FrankRuehl" w:hint="cs"/>
          <w:noProof w:val="0"/>
          <w:sz w:val="26"/>
          <w:szCs w:val="26"/>
          <w:rtl/>
        </w:rPr>
        <w:t xml:space="preserve"> אקדים את המאוחר </w:t>
      </w:r>
      <w:r w:rsidR="00BC7C53">
        <w:rPr>
          <w:rFonts w:ascii="FrankRuehl" w:hAnsi="FrankRuehl" w:cs="FrankRuehl"/>
          <w:noProof w:val="0"/>
          <w:sz w:val="26"/>
          <w:szCs w:val="26"/>
          <w:rtl/>
        </w:rPr>
        <w:t>–</w:t>
      </w:r>
      <w:r w:rsidR="00BC7C53">
        <w:rPr>
          <w:rFonts w:ascii="FrankRuehl" w:hAnsi="FrankRuehl" w:cs="FrankRuehl" w:hint="cs"/>
          <w:noProof w:val="0"/>
          <w:sz w:val="26"/>
          <w:szCs w:val="26"/>
          <w:rtl/>
        </w:rPr>
        <w:t xml:space="preserve"> התשובה לשתי השאלות הראשונות היא בחיוב, ולשלישית בשלילה.</w:t>
      </w:r>
    </w:p>
    <w:p w:rsidR="00EF5CDE" w:rsidRDefault="00BC7C53" w:rsidP="00E75E23">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תניית השיפוט היא ייחוד</w:t>
      </w:r>
      <w:r w:rsidR="00145E08">
        <w:rPr>
          <w:rFonts w:ascii="FrankRuehl" w:hAnsi="FrankRuehl" w:cs="FrankRuehl" w:hint="cs"/>
          <w:noProof w:val="0"/>
          <w:sz w:val="26"/>
          <w:szCs w:val="26"/>
          <w:rtl/>
        </w:rPr>
        <w:t xml:space="preserve">ית, לאור </w:t>
      </w:r>
      <w:r w:rsidR="00EF5CDE">
        <w:rPr>
          <w:rFonts w:ascii="FrankRuehl" w:hAnsi="FrankRuehl" w:cs="FrankRuehl" w:hint="cs"/>
          <w:noProof w:val="0"/>
          <w:sz w:val="26"/>
          <w:szCs w:val="26"/>
          <w:rtl/>
        </w:rPr>
        <w:t>לשונה הברורה</w:t>
      </w:r>
      <w:r w:rsidR="00145E08">
        <w:rPr>
          <w:rFonts w:ascii="FrankRuehl" w:hAnsi="FrankRuehl" w:cs="FrankRuehl" w:hint="cs"/>
          <w:noProof w:val="0"/>
          <w:sz w:val="26"/>
          <w:szCs w:val="26"/>
          <w:rtl/>
        </w:rPr>
        <w:t xml:space="preserve">, לפיה ההסכם יהא בר שיפוט / ידון </w:t>
      </w:r>
      <w:r>
        <w:rPr>
          <w:rFonts w:ascii="FrankRuehl" w:hAnsi="FrankRuehl" w:cs="FrankRuehl" w:hint="cs"/>
          <w:noProof w:val="0"/>
          <w:sz w:val="26"/>
          <w:szCs w:val="26"/>
          <w:rtl/>
        </w:rPr>
        <w:t>בישראל (</w:t>
      </w:r>
      <w:r>
        <w:rPr>
          <w:rFonts w:ascii="FrankRuehl" w:hAnsi="FrankRuehl" w:cs="FrankRuehl"/>
          <w:b/>
          <w:bCs/>
          <w:noProof w:val="0"/>
          <w:sz w:val="26"/>
          <w:szCs w:val="26"/>
        </w:rPr>
        <w:t>"</w:t>
      </w:r>
      <w:r w:rsidRPr="002337F9">
        <w:rPr>
          <w:rFonts w:ascii="FrankRuehl" w:hAnsi="FrankRuehl" w:cs="FrankRuehl"/>
          <w:b/>
          <w:bCs/>
          <w:noProof w:val="0"/>
          <w:sz w:val="26"/>
          <w:szCs w:val="26"/>
        </w:rPr>
        <w:t>It will be adjudicated in Israel</w:t>
      </w:r>
      <w:r>
        <w:rPr>
          <w:rFonts w:ascii="FrankRuehl" w:hAnsi="FrankRuehl" w:cs="FrankRuehl"/>
          <w:b/>
          <w:bCs/>
          <w:noProof w:val="0"/>
          <w:sz w:val="26"/>
          <w:szCs w:val="26"/>
        </w:rPr>
        <w:t>"</w:t>
      </w:r>
      <w:r w:rsidRPr="00BC7C53">
        <w:rPr>
          <w:rFonts w:ascii="FrankRuehl" w:hAnsi="FrankRuehl" w:cs="FrankRuehl" w:hint="cs"/>
          <w:noProof w:val="0"/>
          <w:sz w:val="26"/>
          <w:szCs w:val="26"/>
          <w:rtl/>
        </w:rPr>
        <w:t>)</w:t>
      </w:r>
      <w:r w:rsidR="00145E08">
        <w:rPr>
          <w:rFonts w:ascii="FrankRuehl" w:hAnsi="FrankRuehl" w:cs="FrankRuehl" w:hint="cs"/>
          <w:noProof w:val="0"/>
          <w:sz w:val="26"/>
          <w:szCs w:val="26"/>
          <w:rtl/>
        </w:rPr>
        <w:t xml:space="preserve"> (השוו </w:t>
      </w:r>
      <w:r w:rsidR="00145E08" w:rsidRPr="00145E08">
        <w:rPr>
          <w:rFonts w:ascii="FrankRuehl" w:hAnsi="FrankRuehl" w:cs="FrankRuehl"/>
          <w:noProof w:val="0"/>
          <w:sz w:val="26"/>
          <w:szCs w:val="26"/>
          <w:rtl/>
        </w:rPr>
        <w:t>רע"א 8135/12</w:t>
      </w:r>
      <w:r w:rsidR="00145E08" w:rsidRPr="00145E08">
        <w:rPr>
          <w:rFonts w:ascii="FrankRuehl" w:hAnsi="FrankRuehl" w:cs="FrankRuehl"/>
          <w:noProof w:val="0"/>
          <w:sz w:val="26"/>
          <w:szCs w:val="26"/>
        </w:rPr>
        <w:t xml:space="preserve"> </w:t>
      </w:r>
      <w:r w:rsidR="00145E08" w:rsidRPr="002832C1">
        <w:rPr>
          <w:rFonts w:ascii="FrankRuehl" w:hAnsi="FrankRuehl" w:cs="FrankRuehl"/>
          <w:b/>
          <w:bCs/>
          <w:noProof w:val="0"/>
          <w:sz w:val="22"/>
          <w:szCs w:val="22"/>
        </w:rPr>
        <w:t xml:space="preserve">Nantucket Ltd </w:t>
      </w:r>
      <w:r w:rsidR="00145E08" w:rsidRPr="00145E08">
        <w:rPr>
          <w:rFonts w:ascii="FrankRuehl" w:hAnsi="FrankRuehl" w:cs="FrankRuehl"/>
          <w:b/>
          <w:bCs/>
          <w:noProof w:val="0"/>
          <w:sz w:val="26"/>
          <w:szCs w:val="26"/>
          <w:rtl/>
        </w:rPr>
        <w:t>נ' עמיקם דורון ואח'</w:t>
      </w:r>
      <w:r w:rsidR="00145E08" w:rsidRPr="00145E08">
        <w:rPr>
          <w:rFonts w:ascii="FrankRuehl" w:hAnsi="FrankRuehl" w:cs="FrankRuehl"/>
          <w:noProof w:val="0"/>
          <w:sz w:val="26"/>
          <w:szCs w:val="26"/>
          <w:rtl/>
        </w:rPr>
        <w:t xml:space="preserve"> (28.10.2013)</w:t>
      </w:r>
      <w:r w:rsidR="002832C1">
        <w:rPr>
          <w:rFonts w:ascii="FrankRuehl" w:hAnsi="FrankRuehl" w:cs="FrankRuehl" w:hint="cs"/>
          <w:noProof w:val="0"/>
          <w:sz w:val="26"/>
          <w:szCs w:val="26"/>
          <w:rtl/>
        </w:rPr>
        <w:t xml:space="preserve">, להלן: </w:t>
      </w:r>
      <w:r w:rsidR="002832C1" w:rsidRPr="005106DB">
        <w:rPr>
          <w:rFonts w:asciiTheme="minorBidi" w:hAnsiTheme="minorBidi" w:cstheme="minorBidi"/>
          <w:noProof w:val="0"/>
          <w:rtl/>
        </w:rPr>
        <w:t xml:space="preserve">עניין </w:t>
      </w:r>
      <w:r w:rsidR="002832C1" w:rsidRPr="005106DB">
        <w:rPr>
          <w:rFonts w:asciiTheme="minorBidi" w:hAnsiTheme="minorBidi" w:cstheme="minorBidi"/>
          <w:b/>
          <w:bCs/>
          <w:noProof w:val="0"/>
          <w:sz w:val="22"/>
          <w:szCs w:val="22"/>
        </w:rPr>
        <w:t>Nantucket</w:t>
      </w:r>
      <w:r w:rsidR="00EF5CDE" w:rsidRPr="005106DB">
        <w:rPr>
          <w:rFonts w:ascii="FrankRuehl" w:hAnsi="FrankRuehl" w:cs="FrankRuehl" w:hint="cs"/>
          <w:noProof w:val="0"/>
          <w:rtl/>
        </w:rPr>
        <w:t>,</w:t>
      </w:r>
      <w:r w:rsidR="00EF5CDE">
        <w:rPr>
          <w:rFonts w:ascii="FrankRuehl" w:hAnsi="FrankRuehl" w:cs="FrankRuehl" w:hint="cs"/>
          <w:noProof w:val="0"/>
          <w:sz w:val="26"/>
          <w:szCs w:val="26"/>
          <w:rtl/>
        </w:rPr>
        <w:t xml:space="preserve"> </w:t>
      </w:r>
      <w:r w:rsidR="00EF5CDE" w:rsidRPr="002832C1">
        <w:rPr>
          <w:rFonts w:ascii="FrankRuehl" w:hAnsi="FrankRuehl" w:cs="FrankRuehl"/>
          <w:noProof w:val="0"/>
          <w:sz w:val="26"/>
          <w:szCs w:val="26"/>
          <w:rtl/>
        </w:rPr>
        <w:t xml:space="preserve">ע"א 65/88 </w:t>
      </w:r>
      <w:r w:rsidR="00EF5CDE" w:rsidRPr="002832C1">
        <w:rPr>
          <w:rFonts w:ascii="FrankRuehl" w:hAnsi="FrankRuehl" w:cs="FrankRuehl"/>
          <w:b/>
          <w:bCs/>
          <w:noProof w:val="0"/>
          <w:sz w:val="26"/>
          <w:szCs w:val="26"/>
          <w:rtl/>
        </w:rPr>
        <w:t>אדרת שומרון בע"מ נ' הולינגסוורת ג.מ.ב.ה.</w:t>
      </w:r>
      <w:r w:rsidR="00896571">
        <w:rPr>
          <w:rFonts w:ascii="FrankRuehl" w:hAnsi="FrankRuehl" w:cs="FrankRuehl" w:hint="cs"/>
          <w:noProof w:val="0"/>
          <w:sz w:val="26"/>
          <w:szCs w:val="26"/>
          <w:rtl/>
        </w:rPr>
        <w:t xml:space="preserve"> פ"ד</w:t>
      </w:r>
      <w:r w:rsidR="00EF5CDE" w:rsidRPr="002832C1">
        <w:rPr>
          <w:rFonts w:ascii="FrankRuehl" w:hAnsi="FrankRuehl" w:cs="FrankRuehl"/>
          <w:noProof w:val="0"/>
          <w:sz w:val="26"/>
          <w:szCs w:val="26"/>
          <w:rtl/>
        </w:rPr>
        <w:t>, מד(3) 600</w:t>
      </w:r>
      <w:r w:rsidR="00EF5CDE" w:rsidRPr="002832C1">
        <w:rPr>
          <w:rFonts w:ascii="FrankRuehl" w:hAnsi="FrankRuehl" w:cs="FrankRuehl" w:hint="cs"/>
          <w:noProof w:val="0"/>
          <w:sz w:val="26"/>
          <w:szCs w:val="26"/>
          <w:rtl/>
        </w:rPr>
        <w:t>, 61</w:t>
      </w:r>
      <w:r w:rsidR="00EF5CDE">
        <w:rPr>
          <w:rFonts w:ascii="FrankRuehl" w:hAnsi="FrankRuehl" w:cs="FrankRuehl" w:hint="cs"/>
          <w:noProof w:val="0"/>
          <w:sz w:val="26"/>
          <w:szCs w:val="26"/>
          <w:rtl/>
        </w:rPr>
        <w:t>2</w:t>
      </w:r>
      <w:r w:rsidR="00EF5CDE" w:rsidRPr="002832C1">
        <w:rPr>
          <w:rFonts w:ascii="FrankRuehl" w:hAnsi="FrankRuehl" w:cs="FrankRuehl" w:hint="cs"/>
          <w:noProof w:val="0"/>
          <w:sz w:val="26"/>
          <w:szCs w:val="26"/>
          <w:rtl/>
        </w:rPr>
        <w:t xml:space="preserve"> (1990)</w:t>
      </w:r>
      <w:r w:rsidR="00EF5CDE">
        <w:rPr>
          <w:rFonts w:ascii="FrankRuehl" w:hAnsi="FrankRuehl" w:cs="FrankRuehl" w:hint="cs"/>
          <w:noProof w:val="0"/>
          <w:sz w:val="26"/>
          <w:szCs w:val="26"/>
          <w:rtl/>
        </w:rPr>
        <w:t xml:space="preserve">, להלן: </w:t>
      </w:r>
      <w:r w:rsidR="00EF5CDE" w:rsidRPr="00EF5CDE">
        <w:rPr>
          <w:rFonts w:asciiTheme="minorBidi" w:hAnsiTheme="minorBidi" w:cstheme="minorBidi"/>
          <w:noProof w:val="0"/>
          <w:rtl/>
        </w:rPr>
        <w:t>עניין אדרת שומרון</w:t>
      </w:r>
      <w:r w:rsidR="00896571">
        <w:rPr>
          <w:rFonts w:ascii="FrankRuehl" w:hAnsi="FrankRuehl" w:cs="FrankRuehl" w:hint="cs"/>
          <w:noProof w:val="0"/>
          <w:sz w:val="26"/>
          <w:szCs w:val="26"/>
          <w:rtl/>
        </w:rPr>
        <w:t xml:space="preserve">, </w:t>
      </w:r>
      <w:r w:rsidR="00896571" w:rsidRPr="00896571">
        <w:rPr>
          <w:rFonts w:ascii="FrankRuehl" w:hAnsi="FrankRuehl" w:cs="FrankRuehl"/>
          <w:noProof w:val="0"/>
          <w:sz w:val="26"/>
          <w:szCs w:val="26"/>
          <w:rtl/>
        </w:rPr>
        <w:t>ע"א 8835/99</w:t>
      </w:r>
      <w:r w:rsidR="00896571" w:rsidRPr="00896571">
        <w:rPr>
          <w:rFonts w:ascii="FrankRuehl" w:hAnsi="FrankRuehl" w:cs="FrankRuehl"/>
          <w:b/>
          <w:bCs/>
          <w:noProof w:val="0"/>
          <w:sz w:val="26"/>
          <w:szCs w:val="26"/>
          <w:rtl/>
        </w:rPr>
        <w:t xml:space="preserve"> אינטרדקו חברת המסחר לתעשיות בע"מ נ</w:t>
      </w:r>
      <w:r w:rsidR="00896571" w:rsidRPr="00896571">
        <w:rPr>
          <w:rFonts w:ascii="FrankRuehl" w:hAnsi="FrankRuehl" w:cs="FrankRuehl"/>
          <w:b/>
          <w:bCs/>
          <w:noProof w:val="0"/>
          <w:sz w:val="26"/>
          <w:szCs w:val="26"/>
        </w:rPr>
        <w:t>Sulzer Brothers Ltd</w:t>
      </w:r>
      <w:r w:rsidR="00321835">
        <w:rPr>
          <w:rFonts w:ascii="FrankRuehl" w:hAnsi="FrankRuehl" w:cs="FrankRuehl"/>
          <w:b/>
          <w:bCs/>
          <w:noProof w:val="0"/>
          <w:sz w:val="26"/>
          <w:szCs w:val="26"/>
        </w:rPr>
        <w:t xml:space="preserve"> </w:t>
      </w:r>
      <w:r w:rsidR="00896571" w:rsidRPr="00896571">
        <w:rPr>
          <w:rFonts w:ascii="FrankRuehl" w:hAnsi="FrankRuehl" w:cs="FrankRuehl"/>
          <w:b/>
          <w:bCs/>
          <w:noProof w:val="0"/>
          <w:sz w:val="26"/>
          <w:szCs w:val="26"/>
        </w:rPr>
        <w:t>.</w:t>
      </w:r>
      <w:r w:rsidR="00896571" w:rsidRPr="00896571">
        <w:rPr>
          <w:rFonts w:ascii="FrankRuehl" w:hAnsi="FrankRuehl" w:cs="FrankRuehl" w:hint="cs"/>
          <w:noProof w:val="0"/>
          <w:sz w:val="26"/>
          <w:szCs w:val="26"/>
          <w:rtl/>
        </w:rPr>
        <w:t>, פ"ד נ</w:t>
      </w:r>
      <w:r w:rsidR="00896571" w:rsidRPr="00896571">
        <w:rPr>
          <w:rFonts w:ascii="FrankRuehl" w:hAnsi="FrankRuehl" w:cs="FrankRuehl"/>
          <w:noProof w:val="0"/>
          <w:sz w:val="26"/>
          <w:szCs w:val="26"/>
          <w:rtl/>
        </w:rPr>
        <w:t>ה(2) 378</w:t>
      </w:r>
      <w:r w:rsidR="00896571" w:rsidRPr="00896571">
        <w:rPr>
          <w:rFonts w:ascii="FrankRuehl" w:hAnsi="FrankRuehl" w:cs="FrankRuehl" w:hint="cs"/>
          <w:noProof w:val="0"/>
          <w:sz w:val="26"/>
          <w:szCs w:val="26"/>
          <w:rtl/>
        </w:rPr>
        <w:t xml:space="preserve">, 384 </w:t>
      </w:r>
      <w:r w:rsidR="00896571" w:rsidRPr="00896571">
        <w:rPr>
          <w:rFonts w:ascii="FrankRuehl" w:hAnsi="FrankRuehl" w:cs="FrankRuehl"/>
          <w:noProof w:val="0"/>
          <w:sz w:val="26"/>
          <w:szCs w:val="26"/>
        </w:rPr>
        <w:t xml:space="preserve"> (2001)</w:t>
      </w:r>
      <w:r w:rsidR="00145E08" w:rsidRPr="00896571">
        <w:rPr>
          <w:rFonts w:ascii="FrankRuehl" w:hAnsi="FrankRuehl" w:cs="FrankRuehl" w:hint="cs"/>
          <w:noProof w:val="0"/>
          <w:sz w:val="26"/>
          <w:szCs w:val="26"/>
          <w:rtl/>
        </w:rPr>
        <w:t>)</w:t>
      </w:r>
      <w:r w:rsidRPr="00896571">
        <w:rPr>
          <w:rFonts w:ascii="FrankRuehl" w:hAnsi="FrankRuehl" w:cs="FrankRuehl" w:hint="cs"/>
          <w:noProof w:val="0"/>
          <w:sz w:val="26"/>
          <w:szCs w:val="26"/>
          <w:rtl/>
        </w:rPr>
        <w:t>.</w:t>
      </w:r>
      <w:r w:rsidRPr="00BC7C53">
        <w:rPr>
          <w:rFonts w:ascii="FrankRuehl" w:hAnsi="FrankRuehl" w:cs="FrankRuehl" w:hint="cs"/>
          <w:noProof w:val="0"/>
          <w:sz w:val="26"/>
          <w:szCs w:val="26"/>
          <w:rtl/>
        </w:rPr>
        <w:t xml:space="preserve"> </w:t>
      </w:r>
      <w:r w:rsidR="005106DB">
        <w:rPr>
          <w:rFonts w:ascii="FrankRuehl" w:hAnsi="FrankRuehl" w:cs="FrankRuehl" w:hint="cs"/>
          <w:noProof w:val="0"/>
          <w:sz w:val="26"/>
          <w:szCs w:val="26"/>
          <w:rtl/>
        </w:rPr>
        <w:t>הלכה פסוקה היא, שייחודיותה של תניית שיפוט אינו מותנה ב</w:t>
      </w:r>
      <w:r w:rsidR="00EF5CDE">
        <w:rPr>
          <w:rFonts w:ascii="FrankRuehl" w:hAnsi="FrankRuehl" w:cs="FrankRuehl" w:hint="cs"/>
          <w:noProof w:val="0"/>
          <w:sz w:val="26"/>
          <w:szCs w:val="26"/>
          <w:rtl/>
        </w:rPr>
        <w:t>שליל</w:t>
      </w:r>
      <w:r w:rsidR="005106DB">
        <w:rPr>
          <w:rFonts w:ascii="FrankRuehl" w:hAnsi="FrankRuehl" w:cs="FrankRuehl" w:hint="cs"/>
          <w:noProof w:val="0"/>
          <w:sz w:val="26"/>
          <w:szCs w:val="26"/>
          <w:rtl/>
        </w:rPr>
        <w:t xml:space="preserve">ת </w:t>
      </w:r>
      <w:r w:rsidR="00EF5CDE">
        <w:rPr>
          <w:rFonts w:ascii="FrankRuehl" w:hAnsi="FrankRuehl" w:cs="FrankRuehl" w:hint="cs"/>
          <w:noProof w:val="0"/>
          <w:sz w:val="26"/>
          <w:szCs w:val="26"/>
          <w:rtl/>
        </w:rPr>
        <w:t>סמכות</w:t>
      </w:r>
      <w:r w:rsidR="005106DB">
        <w:rPr>
          <w:rFonts w:ascii="FrankRuehl" w:hAnsi="FrankRuehl" w:cs="FrankRuehl" w:hint="cs"/>
          <w:noProof w:val="0"/>
          <w:sz w:val="26"/>
          <w:szCs w:val="26"/>
          <w:rtl/>
        </w:rPr>
        <w:t>ן של</w:t>
      </w:r>
      <w:r w:rsidR="00EF5CDE">
        <w:rPr>
          <w:rFonts w:ascii="FrankRuehl" w:hAnsi="FrankRuehl" w:cs="FrankRuehl" w:hint="cs"/>
          <w:noProof w:val="0"/>
          <w:sz w:val="26"/>
          <w:szCs w:val="26"/>
          <w:rtl/>
        </w:rPr>
        <w:t xml:space="preserve"> ערכאות </w:t>
      </w:r>
      <w:r w:rsidR="005106DB">
        <w:rPr>
          <w:rFonts w:ascii="FrankRuehl" w:hAnsi="FrankRuehl" w:cs="FrankRuehl" w:hint="cs"/>
          <w:noProof w:val="0"/>
          <w:sz w:val="26"/>
          <w:szCs w:val="26"/>
          <w:rtl/>
        </w:rPr>
        <w:t>אחרות</w:t>
      </w:r>
      <w:r w:rsidR="00EF5CDE">
        <w:rPr>
          <w:rFonts w:ascii="FrankRuehl" w:hAnsi="FrankRuehl" w:cs="FrankRuehl" w:hint="cs"/>
          <w:noProof w:val="0"/>
          <w:sz w:val="26"/>
          <w:szCs w:val="26"/>
          <w:rtl/>
        </w:rPr>
        <w:t xml:space="preserve"> (</w:t>
      </w:r>
      <w:r w:rsidR="005106DB">
        <w:rPr>
          <w:rFonts w:ascii="FrankRuehl" w:hAnsi="FrankRuehl" w:cs="FrankRuehl" w:hint="cs"/>
          <w:noProof w:val="0"/>
          <w:sz w:val="26"/>
          <w:szCs w:val="26"/>
          <w:rtl/>
        </w:rPr>
        <w:t xml:space="preserve">עניין אדרת שומרות, </w:t>
      </w:r>
      <w:r w:rsidR="00EF5CDE">
        <w:rPr>
          <w:rFonts w:ascii="FrankRuehl" w:hAnsi="FrankRuehl" w:cs="FrankRuehl" w:hint="cs"/>
          <w:noProof w:val="0"/>
          <w:sz w:val="26"/>
          <w:szCs w:val="26"/>
          <w:rtl/>
        </w:rPr>
        <w:t xml:space="preserve">עניין </w:t>
      </w:r>
      <w:r w:rsidR="00EF5CDE" w:rsidRPr="002832C1">
        <w:rPr>
          <w:rFonts w:ascii="FrankRuehl" w:hAnsi="FrankRuehl" w:cs="FrankRuehl"/>
          <w:b/>
          <w:bCs/>
          <w:noProof w:val="0"/>
          <w:sz w:val="22"/>
          <w:szCs w:val="22"/>
        </w:rPr>
        <w:t>Nantucket</w:t>
      </w:r>
      <w:r w:rsidR="00EF5CDE">
        <w:rPr>
          <w:rFonts w:ascii="FrankRuehl" w:hAnsi="FrankRuehl" w:cs="FrankRuehl" w:hint="cs"/>
          <w:noProof w:val="0"/>
          <w:sz w:val="26"/>
          <w:szCs w:val="26"/>
          <w:rtl/>
        </w:rPr>
        <w:t>)</w:t>
      </w:r>
      <w:r w:rsidR="005106DB">
        <w:rPr>
          <w:rFonts w:ascii="FrankRuehl" w:hAnsi="FrankRuehl" w:cs="FrankRuehl" w:hint="cs"/>
          <w:noProof w:val="0"/>
          <w:sz w:val="26"/>
          <w:szCs w:val="26"/>
          <w:rtl/>
        </w:rPr>
        <w:t xml:space="preserve">. </w:t>
      </w:r>
      <w:r w:rsidR="00345107">
        <w:rPr>
          <w:rFonts w:ascii="FrankRuehl" w:hAnsi="FrankRuehl" w:cs="FrankRuehl" w:hint="cs"/>
          <w:noProof w:val="0"/>
          <w:sz w:val="26"/>
          <w:szCs w:val="26"/>
          <w:rtl/>
        </w:rPr>
        <w:t>ה</w:t>
      </w:r>
      <w:r w:rsidRPr="00BC7C53">
        <w:rPr>
          <w:rFonts w:ascii="FrankRuehl" w:hAnsi="FrankRuehl" w:cs="FrankRuehl" w:hint="cs"/>
          <w:noProof w:val="0"/>
          <w:sz w:val="26"/>
          <w:szCs w:val="26"/>
          <w:rtl/>
        </w:rPr>
        <w:t>מסקנה</w:t>
      </w:r>
      <w:r w:rsidR="00345107">
        <w:rPr>
          <w:rFonts w:ascii="FrankRuehl" w:hAnsi="FrankRuehl" w:cs="FrankRuehl" w:hint="cs"/>
          <w:noProof w:val="0"/>
          <w:sz w:val="26"/>
          <w:szCs w:val="26"/>
          <w:rtl/>
        </w:rPr>
        <w:t>, בדבר ייחודיות תניית השיפוט</w:t>
      </w:r>
      <w:r w:rsidRPr="00BC7C53">
        <w:rPr>
          <w:rFonts w:ascii="FrankRuehl" w:hAnsi="FrankRuehl" w:cs="FrankRuehl" w:hint="cs"/>
          <w:noProof w:val="0"/>
          <w:sz w:val="26"/>
          <w:szCs w:val="26"/>
          <w:rtl/>
        </w:rPr>
        <w:t xml:space="preserve"> מתחזקת, לאור החלת הדין הישראלי על אכיפת ההסכם</w:t>
      </w:r>
      <w:r w:rsidR="002832C1">
        <w:rPr>
          <w:rFonts w:ascii="FrankRuehl" w:hAnsi="FrankRuehl" w:cs="FrankRuehl" w:hint="cs"/>
          <w:noProof w:val="0"/>
          <w:sz w:val="26"/>
          <w:szCs w:val="26"/>
          <w:rtl/>
        </w:rPr>
        <w:t xml:space="preserve"> (</w:t>
      </w:r>
      <w:r w:rsidR="00EF5CDE">
        <w:rPr>
          <w:rFonts w:ascii="FrankRuehl" w:hAnsi="FrankRuehl" w:cs="FrankRuehl" w:hint="cs"/>
          <w:noProof w:val="0"/>
          <w:sz w:val="26"/>
          <w:szCs w:val="26"/>
          <w:rtl/>
        </w:rPr>
        <w:t>עניין אדרת שומרון</w:t>
      </w:r>
      <w:r w:rsidR="002832C1" w:rsidRPr="002832C1">
        <w:rPr>
          <w:rFonts w:ascii="FrankRuehl" w:hAnsi="FrankRuehl" w:cs="FrankRuehl" w:hint="cs"/>
          <w:noProof w:val="0"/>
          <w:sz w:val="26"/>
          <w:szCs w:val="26"/>
          <w:rtl/>
        </w:rPr>
        <w:t>, עניין</w:t>
      </w:r>
      <w:r w:rsidR="002832C1">
        <w:rPr>
          <w:rFonts w:hint="cs"/>
          <w:color w:val="000000"/>
          <w:sz w:val="27"/>
          <w:szCs w:val="27"/>
          <w:rtl/>
        </w:rPr>
        <w:t xml:space="preserve"> </w:t>
      </w:r>
      <w:r w:rsidR="002832C1" w:rsidRPr="002832C1">
        <w:rPr>
          <w:rFonts w:ascii="FrankRuehl" w:hAnsi="FrankRuehl" w:cs="FrankRuehl"/>
          <w:b/>
          <w:bCs/>
          <w:noProof w:val="0"/>
          <w:sz w:val="22"/>
          <w:szCs w:val="22"/>
        </w:rPr>
        <w:t>Nantucket</w:t>
      </w:r>
      <w:r w:rsidR="002832C1">
        <w:rPr>
          <w:rFonts w:hint="cs"/>
          <w:color w:val="000000"/>
          <w:sz w:val="27"/>
          <w:szCs w:val="27"/>
          <w:rtl/>
        </w:rPr>
        <w:t xml:space="preserve">). </w:t>
      </w:r>
      <w:r w:rsidR="00233489">
        <w:rPr>
          <w:rFonts w:ascii="FrankRuehl" w:hAnsi="FrankRuehl" w:cs="FrankRuehl"/>
          <w:noProof w:val="0"/>
          <w:sz w:val="26"/>
          <w:szCs w:val="26"/>
          <w:rtl/>
        </w:rPr>
        <w:br/>
      </w:r>
      <w:r w:rsidR="00233489">
        <w:rPr>
          <w:rFonts w:ascii="FrankRuehl" w:hAnsi="FrankRuehl" w:cs="FrankRuehl"/>
          <w:noProof w:val="0"/>
          <w:sz w:val="26"/>
          <w:szCs w:val="26"/>
          <w:rtl/>
        </w:rPr>
        <w:br/>
      </w:r>
      <w:r w:rsidR="001D2102">
        <w:rPr>
          <w:rFonts w:ascii="FrankRuehl" w:hAnsi="FrankRuehl" w:cs="FrankRuehl" w:hint="cs"/>
          <w:noProof w:val="0"/>
          <w:sz w:val="26"/>
          <w:szCs w:val="26"/>
          <w:rtl/>
        </w:rPr>
        <w:lastRenderedPageBreak/>
        <w:t xml:space="preserve">אין בידי לקבל את טענת הנתבעת, לפיה לא מדובר בתניית שיפוט ייחודית, מאחר שסעיף 5 להסכם אינו מאזכר את נושא איזון </w:t>
      </w:r>
      <w:r w:rsidR="0003641F">
        <w:rPr>
          <w:rFonts w:ascii="FrankRuehl" w:hAnsi="FrankRuehl" w:cs="FrankRuehl" w:hint="cs"/>
          <w:noProof w:val="0"/>
          <w:sz w:val="26"/>
          <w:szCs w:val="26"/>
          <w:rtl/>
        </w:rPr>
        <w:t>ה</w:t>
      </w:r>
      <w:r w:rsidR="001D2102">
        <w:rPr>
          <w:rFonts w:ascii="FrankRuehl" w:hAnsi="FrankRuehl" w:cs="FrankRuehl" w:hint="cs"/>
          <w:noProof w:val="0"/>
          <w:sz w:val="26"/>
          <w:szCs w:val="26"/>
          <w:rtl/>
        </w:rPr>
        <w:t>משאבים</w:t>
      </w:r>
      <w:r w:rsidR="00E75E23">
        <w:rPr>
          <w:rFonts w:ascii="FrankRuehl" w:hAnsi="FrankRuehl" w:cs="FrankRuehl" w:hint="cs"/>
          <w:noProof w:val="0"/>
          <w:sz w:val="26"/>
          <w:szCs w:val="26"/>
          <w:rtl/>
        </w:rPr>
        <w:t>. זאת</w:t>
      </w:r>
      <w:r w:rsidR="001D2102">
        <w:rPr>
          <w:rFonts w:ascii="FrankRuehl" w:hAnsi="FrankRuehl" w:cs="FrankRuehl" w:hint="cs"/>
          <w:noProof w:val="0"/>
          <w:sz w:val="26"/>
          <w:szCs w:val="26"/>
          <w:rtl/>
        </w:rPr>
        <w:t xml:space="preserve">, מכמה טעמים: </w:t>
      </w:r>
      <w:r w:rsidR="001D2102" w:rsidRPr="00E1150D">
        <w:rPr>
          <w:rFonts w:ascii="FrankRuehl" w:hAnsi="FrankRuehl" w:cs="FrankRuehl" w:hint="cs"/>
          <w:b/>
          <w:bCs/>
          <w:noProof w:val="0"/>
          <w:sz w:val="26"/>
          <w:szCs w:val="26"/>
          <w:rtl/>
        </w:rPr>
        <w:t>ראשית</w:t>
      </w:r>
      <w:r w:rsidR="001D2102">
        <w:rPr>
          <w:rFonts w:ascii="FrankRuehl" w:hAnsi="FrankRuehl" w:cs="FrankRuehl" w:hint="cs"/>
          <w:noProof w:val="0"/>
          <w:sz w:val="26"/>
          <w:szCs w:val="26"/>
          <w:rtl/>
        </w:rPr>
        <w:t xml:space="preserve">, יש להבחין בין ייחודיות תניית שיפוט לבין </w:t>
      </w:r>
      <w:r w:rsidR="00E1150D">
        <w:rPr>
          <w:rFonts w:ascii="FrankRuehl" w:hAnsi="FrankRuehl" w:cs="FrankRuehl" w:hint="cs"/>
          <w:noProof w:val="0"/>
          <w:sz w:val="26"/>
          <w:szCs w:val="26"/>
          <w:rtl/>
        </w:rPr>
        <w:t>היקף הנושאים הנכלל בגדרי ייחודיות זו. התביעה היא לאכיפת ההסכם, נושא הנזכר מפורשות בתניית השיפוט</w:t>
      </w:r>
      <w:r w:rsidR="00622E50">
        <w:rPr>
          <w:rFonts w:ascii="FrankRuehl" w:hAnsi="FrankRuehl" w:cs="FrankRuehl" w:hint="cs"/>
          <w:noProof w:val="0"/>
          <w:sz w:val="26"/>
          <w:szCs w:val="26"/>
          <w:rtl/>
        </w:rPr>
        <w:t xml:space="preserve">. </w:t>
      </w:r>
      <w:r w:rsidR="00E1150D" w:rsidRPr="00E1150D">
        <w:rPr>
          <w:rFonts w:ascii="FrankRuehl" w:hAnsi="FrankRuehl" w:cs="FrankRuehl" w:hint="cs"/>
          <w:b/>
          <w:bCs/>
          <w:noProof w:val="0"/>
          <w:sz w:val="26"/>
          <w:szCs w:val="26"/>
          <w:rtl/>
        </w:rPr>
        <w:t>שנית</w:t>
      </w:r>
      <w:r w:rsidR="00E1150D">
        <w:rPr>
          <w:rFonts w:ascii="FrankRuehl" w:hAnsi="FrankRuehl" w:cs="FrankRuehl" w:hint="cs"/>
          <w:noProof w:val="0"/>
          <w:sz w:val="26"/>
          <w:szCs w:val="26"/>
          <w:rtl/>
        </w:rPr>
        <w:t>, תניית השיפוט נוקטת בלשון מקיפה המתייחס</w:t>
      </w:r>
      <w:r w:rsidR="00E75E23">
        <w:rPr>
          <w:rFonts w:ascii="FrankRuehl" w:hAnsi="FrankRuehl" w:cs="FrankRuehl" w:hint="cs"/>
          <w:noProof w:val="0"/>
          <w:sz w:val="26"/>
          <w:szCs w:val="26"/>
          <w:rtl/>
        </w:rPr>
        <w:t>ת</w:t>
      </w:r>
      <w:r w:rsidR="00E1150D">
        <w:rPr>
          <w:rFonts w:ascii="FrankRuehl" w:hAnsi="FrankRuehl" w:cs="FrankRuehl" w:hint="cs"/>
          <w:noProof w:val="0"/>
          <w:sz w:val="26"/>
          <w:szCs w:val="26"/>
          <w:rtl/>
        </w:rPr>
        <w:t xml:space="preserve"> ל"הסכם". מאחר</w:t>
      </w:r>
      <w:r w:rsidR="00E75E23">
        <w:rPr>
          <w:rFonts w:ascii="FrankRuehl" w:hAnsi="FrankRuehl" w:cs="FrankRuehl" w:hint="cs"/>
          <w:noProof w:val="0"/>
          <w:sz w:val="26"/>
          <w:szCs w:val="26"/>
          <w:rtl/>
        </w:rPr>
        <w:t>,</w:t>
      </w:r>
      <w:r w:rsidR="00E1150D">
        <w:rPr>
          <w:rFonts w:ascii="FrankRuehl" w:hAnsi="FrankRuehl" w:cs="FrankRuehl" w:hint="cs"/>
          <w:noProof w:val="0"/>
          <w:sz w:val="26"/>
          <w:szCs w:val="26"/>
          <w:rtl/>
        </w:rPr>
        <w:t xml:space="preserve"> שההסכם כולל הוראות ברורות</w:t>
      </w:r>
      <w:r w:rsidR="00E75E23">
        <w:rPr>
          <w:rFonts w:ascii="FrankRuehl" w:hAnsi="FrankRuehl" w:cs="FrankRuehl" w:hint="cs"/>
          <w:noProof w:val="0"/>
          <w:sz w:val="26"/>
          <w:szCs w:val="26"/>
          <w:rtl/>
        </w:rPr>
        <w:t>,</w:t>
      </w:r>
      <w:r w:rsidR="00E1150D">
        <w:rPr>
          <w:rFonts w:ascii="FrankRuehl" w:hAnsi="FrankRuehl" w:cs="FrankRuehl" w:hint="cs"/>
          <w:noProof w:val="0"/>
          <w:sz w:val="26"/>
          <w:szCs w:val="26"/>
          <w:rtl/>
        </w:rPr>
        <w:t xml:space="preserve"> באשר לחלוקת רכושם של הצדדים, אין נפקות לכך, שנושא איזון המשאבים לא נזכר מפורשות. </w:t>
      </w:r>
      <w:r w:rsidR="00E1150D" w:rsidRPr="00E1150D">
        <w:rPr>
          <w:rFonts w:ascii="FrankRuehl" w:hAnsi="FrankRuehl" w:cs="FrankRuehl" w:hint="cs"/>
          <w:b/>
          <w:bCs/>
          <w:noProof w:val="0"/>
          <w:sz w:val="26"/>
          <w:szCs w:val="26"/>
          <w:rtl/>
        </w:rPr>
        <w:t>שלישית</w:t>
      </w:r>
      <w:r w:rsidR="00E1150D">
        <w:rPr>
          <w:rFonts w:ascii="FrankRuehl" w:hAnsi="FrankRuehl" w:cs="FrankRuehl" w:hint="cs"/>
          <w:noProof w:val="0"/>
          <w:sz w:val="26"/>
          <w:szCs w:val="26"/>
          <w:rtl/>
        </w:rPr>
        <w:t>, ייחודיותה של תניית השיפוט, ובהיעדר אינדיקציות פרשניות נוגדות, מצדיק פרשנות מרחיבה</w:t>
      </w:r>
      <w:r w:rsidR="00E75E23">
        <w:rPr>
          <w:rFonts w:ascii="FrankRuehl" w:hAnsi="FrankRuehl" w:cs="FrankRuehl" w:hint="cs"/>
          <w:noProof w:val="0"/>
          <w:sz w:val="26"/>
          <w:szCs w:val="26"/>
          <w:rtl/>
        </w:rPr>
        <w:t xml:space="preserve"> של התנייה</w:t>
      </w:r>
      <w:r w:rsidR="00E1150D">
        <w:rPr>
          <w:rFonts w:ascii="FrankRuehl" w:hAnsi="FrankRuehl" w:cs="FrankRuehl" w:hint="cs"/>
          <w:noProof w:val="0"/>
          <w:sz w:val="26"/>
          <w:szCs w:val="26"/>
          <w:rtl/>
        </w:rPr>
        <w:t xml:space="preserve"> (עניין </w:t>
      </w:r>
      <w:r w:rsidR="00E1150D" w:rsidRPr="002832C1">
        <w:rPr>
          <w:rFonts w:ascii="FrankRuehl" w:hAnsi="FrankRuehl" w:cs="FrankRuehl"/>
          <w:b/>
          <w:bCs/>
          <w:noProof w:val="0"/>
          <w:sz w:val="22"/>
          <w:szCs w:val="22"/>
        </w:rPr>
        <w:t>Nantucket</w:t>
      </w:r>
      <w:r w:rsidR="00E1150D">
        <w:rPr>
          <w:rFonts w:ascii="FrankRuehl" w:hAnsi="FrankRuehl" w:cs="FrankRuehl" w:hint="cs"/>
          <w:noProof w:val="0"/>
          <w:sz w:val="26"/>
          <w:szCs w:val="26"/>
          <w:rtl/>
        </w:rPr>
        <w:t>).</w:t>
      </w:r>
      <w:r w:rsidR="001D2102">
        <w:rPr>
          <w:rFonts w:ascii="FrankRuehl" w:hAnsi="FrankRuehl" w:cs="FrankRuehl" w:hint="cs"/>
          <w:noProof w:val="0"/>
          <w:sz w:val="26"/>
          <w:szCs w:val="26"/>
          <w:rtl/>
        </w:rPr>
        <w:t xml:space="preserve"> </w:t>
      </w:r>
    </w:p>
    <w:p w:rsidR="000C3366" w:rsidRDefault="00B33030" w:rsidP="005212E9">
      <w:pPr>
        <w:pStyle w:val="ad"/>
        <w:numPr>
          <w:ilvl w:val="0"/>
          <w:numId w:val="1"/>
        </w:numPr>
        <w:spacing w:after="240" w:line="360" w:lineRule="auto"/>
        <w:ind w:left="714" w:hanging="357"/>
        <w:contextualSpacing w:val="0"/>
        <w:jc w:val="both"/>
        <w:rPr>
          <w:rFonts w:ascii="FrankRuehl" w:hAnsi="FrankRuehl" w:cs="FrankRuehl"/>
          <w:noProof w:val="0"/>
          <w:sz w:val="26"/>
          <w:szCs w:val="26"/>
        </w:rPr>
      </w:pPr>
      <w:r>
        <w:rPr>
          <w:rFonts w:ascii="FrankRuehl" w:hAnsi="FrankRuehl" w:cs="FrankRuehl" w:hint="cs"/>
          <w:noProof w:val="0"/>
          <w:sz w:val="26"/>
          <w:szCs w:val="26"/>
          <w:rtl/>
        </w:rPr>
        <w:t>טענתה המרכזית של הנתבעת היא, שההסכם</w:t>
      </w:r>
      <w:r w:rsidR="00E75E23">
        <w:rPr>
          <w:rFonts w:ascii="FrankRuehl" w:hAnsi="FrankRuehl" w:cs="FrankRuehl" w:hint="cs"/>
          <w:noProof w:val="0"/>
          <w:sz w:val="26"/>
          <w:szCs w:val="26"/>
          <w:rtl/>
        </w:rPr>
        <w:t xml:space="preserve"> (</w:t>
      </w:r>
      <w:r>
        <w:rPr>
          <w:rFonts w:ascii="FrankRuehl" w:hAnsi="FrankRuehl" w:cs="FrankRuehl" w:hint="cs"/>
          <w:noProof w:val="0"/>
          <w:sz w:val="26"/>
          <w:szCs w:val="26"/>
          <w:rtl/>
        </w:rPr>
        <w:t>ממילא תניית השיפוט הכלולה בו</w:t>
      </w:r>
      <w:r w:rsidR="00E75E23">
        <w:rPr>
          <w:rFonts w:ascii="FrankRuehl" w:hAnsi="FrankRuehl" w:cs="FrankRuehl" w:hint="cs"/>
          <w:noProof w:val="0"/>
          <w:sz w:val="26"/>
          <w:szCs w:val="26"/>
          <w:rtl/>
        </w:rPr>
        <w:t>)</w:t>
      </w:r>
      <w:r>
        <w:rPr>
          <w:rFonts w:ascii="FrankRuehl" w:hAnsi="FrankRuehl" w:cs="FrankRuehl" w:hint="cs"/>
          <w:noProof w:val="0"/>
          <w:sz w:val="26"/>
          <w:szCs w:val="26"/>
          <w:rtl/>
        </w:rPr>
        <w:t>, אינו אכיף, משום שלא התקיימה גמירות דעת להתקשר בהסכם מחייב. לטענת הנתבעת, היא חתמה על ההסכם "</w:t>
      </w:r>
      <w:r w:rsidRPr="00B33030">
        <w:rPr>
          <w:rFonts w:ascii="FrankRuehl" w:hAnsi="FrankRuehl" w:cs="FrankRuehl" w:hint="cs"/>
          <w:b/>
          <w:bCs/>
          <w:noProof w:val="0"/>
          <w:sz w:val="26"/>
          <w:szCs w:val="26"/>
          <w:rtl/>
        </w:rPr>
        <w:t>כבדיחה פנימית בינה לבין התובע</w:t>
      </w:r>
      <w:r>
        <w:rPr>
          <w:rFonts w:ascii="FrankRuehl" w:hAnsi="FrankRuehl" w:cs="FrankRuehl" w:hint="cs"/>
          <w:noProof w:val="0"/>
          <w:sz w:val="26"/>
          <w:szCs w:val="26"/>
          <w:rtl/>
        </w:rPr>
        <w:t>" (סעיף 9 לסיכומי הנתבעת)</w:t>
      </w:r>
      <w:r w:rsidR="005212E9">
        <w:rPr>
          <w:rFonts w:ascii="FrankRuehl" w:hAnsi="FrankRuehl" w:cs="FrankRuehl" w:hint="cs"/>
          <w:noProof w:val="0"/>
          <w:sz w:val="26"/>
          <w:szCs w:val="26"/>
          <w:rtl/>
        </w:rPr>
        <w:t xml:space="preserve">. </w:t>
      </w:r>
      <w:r w:rsidR="000C3366">
        <w:rPr>
          <w:rFonts w:ascii="FrankRuehl" w:hAnsi="FrankRuehl" w:cs="FrankRuehl" w:hint="cs"/>
          <w:noProof w:val="0"/>
          <w:sz w:val="26"/>
          <w:szCs w:val="26"/>
          <w:rtl/>
        </w:rPr>
        <w:t>הנתבעת תומכת את טענתה בראיות שלהלן:</w:t>
      </w:r>
    </w:p>
    <w:p w:rsidR="00B33030" w:rsidRDefault="00CE27E3" w:rsidP="005212E9">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 xml:space="preserve">שלושה מסמכים </w:t>
      </w:r>
      <w:r w:rsidR="005212E9">
        <w:rPr>
          <w:rFonts w:ascii="FrankRuehl" w:hAnsi="FrankRuehl" w:cs="FrankRuehl" w:hint="cs"/>
          <w:noProof w:val="0"/>
          <w:sz w:val="26"/>
          <w:szCs w:val="26"/>
          <w:rtl/>
        </w:rPr>
        <w:t>(</w:t>
      </w:r>
      <w:r>
        <w:rPr>
          <w:rFonts w:ascii="FrankRuehl" w:hAnsi="FrankRuehl" w:cs="FrankRuehl" w:hint="cs"/>
          <w:noProof w:val="0"/>
          <w:sz w:val="26"/>
          <w:szCs w:val="26"/>
          <w:rtl/>
        </w:rPr>
        <w:t>נספח 6 לתצהירה</w:t>
      </w:r>
      <w:r w:rsidR="00C9182A">
        <w:rPr>
          <w:rFonts w:ascii="FrankRuehl" w:hAnsi="FrankRuehl" w:cs="FrankRuehl" w:hint="cs"/>
          <w:noProof w:val="0"/>
          <w:sz w:val="26"/>
          <w:szCs w:val="26"/>
          <w:rtl/>
        </w:rPr>
        <w:t xml:space="preserve">, להלן: </w:t>
      </w:r>
      <w:r w:rsidR="00C9182A" w:rsidRPr="00C9182A">
        <w:rPr>
          <w:rFonts w:asciiTheme="minorBidi" w:hAnsiTheme="minorBidi" w:cstheme="minorBidi"/>
          <w:noProof w:val="0"/>
          <w:rtl/>
        </w:rPr>
        <w:t>הצהרות ההתחייבות</w:t>
      </w:r>
      <w:r>
        <w:rPr>
          <w:rFonts w:ascii="FrankRuehl" w:hAnsi="FrankRuehl" w:cs="FrankRuehl" w:hint="cs"/>
          <w:noProof w:val="0"/>
          <w:sz w:val="26"/>
          <w:szCs w:val="26"/>
          <w:rtl/>
        </w:rPr>
        <w:t>), כלהלן: האחד, עניינו התחייבות הנתבעת לא לחשוף בפני צד שלישי מידע בנוגע ליחסיה עם התובע, ללא אישורו המוקלט מראש</w:t>
      </w:r>
      <w:r w:rsidR="005212E9">
        <w:rPr>
          <w:rFonts w:ascii="FrankRuehl" w:hAnsi="FrankRuehl" w:cs="FrankRuehl" w:hint="cs"/>
          <w:noProof w:val="0"/>
          <w:sz w:val="26"/>
          <w:szCs w:val="26"/>
          <w:rtl/>
        </w:rPr>
        <w:t xml:space="preserve"> (כולל</w:t>
      </w:r>
      <w:r>
        <w:rPr>
          <w:rFonts w:ascii="FrankRuehl" w:hAnsi="FrankRuehl" w:cs="FrankRuehl" w:hint="cs"/>
          <w:noProof w:val="0"/>
          <w:sz w:val="26"/>
          <w:szCs w:val="26"/>
          <w:rtl/>
        </w:rPr>
        <w:t xml:space="preserve"> התחייבותה להקליט את שיחותיה עם צד שלישי ולעדכן את התובע אודות הפרה של ההתחייבות</w:t>
      </w:r>
      <w:r w:rsidR="005212E9">
        <w:rPr>
          <w:rFonts w:ascii="FrankRuehl" w:hAnsi="FrankRuehl" w:cs="FrankRuehl" w:hint="cs"/>
          <w:noProof w:val="0"/>
          <w:sz w:val="26"/>
          <w:szCs w:val="26"/>
          <w:rtl/>
        </w:rPr>
        <w:t>)</w:t>
      </w:r>
      <w:r>
        <w:rPr>
          <w:rFonts w:ascii="FrankRuehl" w:hAnsi="FrankRuehl" w:cs="FrankRuehl" w:hint="cs"/>
          <w:noProof w:val="0"/>
          <w:sz w:val="26"/>
          <w:szCs w:val="26"/>
          <w:rtl/>
        </w:rPr>
        <w:t>. שני מסמכים הכוללים התחייבות לבצע הס</w:t>
      </w:r>
      <w:r w:rsidR="000C3366">
        <w:rPr>
          <w:rFonts w:ascii="FrankRuehl" w:hAnsi="FrankRuehl" w:cs="FrankRuehl" w:hint="cs"/>
          <w:noProof w:val="0"/>
          <w:sz w:val="26"/>
          <w:szCs w:val="26"/>
          <w:rtl/>
        </w:rPr>
        <w:t>רת שיער בלייזר. מסמך בו מתחייב התובע למכור אוגרים שהיו לצדדים. לטענת הנתבעת, ההסכם אינו אלא מסמך נוסף שנועד לעניינים פנימיים של הצדדים בלבד.</w:t>
      </w:r>
    </w:p>
    <w:p w:rsidR="000C3366" w:rsidRDefault="000C3366" w:rsidP="000C3366">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הכינויים שהצדדים בחרו לכנות את עצמם בהסכם.</w:t>
      </w:r>
    </w:p>
    <w:p w:rsidR="000C3366" w:rsidRDefault="00205D3E" w:rsidP="000C3366">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סעיף 1.4 להסכם, העוסק בנושאים מיניים.</w:t>
      </w:r>
    </w:p>
    <w:p w:rsidR="00205D3E" w:rsidRDefault="00205D3E" w:rsidP="000C3366">
      <w:pPr>
        <w:pStyle w:val="ad"/>
        <w:numPr>
          <w:ilvl w:val="1"/>
          <w:numId w:val="1"/>
        </w:numPr>
        <w:spacing w:after="240" w:line="360" w:lineRule="auto"/>
        <w:ind w:left="1134" w:hanging="567"/>
        <w:contextualSpacing w:val="0"/>
        <w:jc w:val="both"/>
        <w:rPr>
          <w:rFonts w:ascii="FrankRuehl" w:hAnsi="FrankRuehl" w:cs="FrankRuehl"/>
          <w:noProof w:val="0"/>
          <w:sz w:val="26"/>
          <w:szCs w:val="26"/>
        </w:rPr>
      </w:pPr>
      <w:r>
        <w:rPr>
          <w:rFonts w:ascii="FrankRuehl" w:hAnsi="FrankRuehl" w:cs="FrankRuehl" w:hint="cs"/>
          <w:noProof w:val="0"/>
          <w:sz w:val="26"/>
          <w:szCs w:val="26"/>
          <w:rtl/>
        </w:rPr>
        <w:t>חתימת ההסכם במעבדה באוניברסיטה, בשעת לילה מאוחרת, כאשר הצדדים מתגפפים. לטענת הנתבעת, ההסכם הונח לפניה לראשונה בעת חתימתו, והיא קראה אותו 5 דקות לפני שחתמה.</w:t>
      </w:r>
    </w:p>
    <w:p w:rsidR="00111F51" w:rsidRDefault="00C26E31" w:rsidP="00123210">
      <w:pPr>
        <w:pStyle w:val="ad"/>
        <w:numPr>
          <w:ilvl w:val="0"/>
          <w:numId w:val="1"/>
        </w:numPr>
        <w:spacing w:after="240" w:line="360" w:lineRule="auto"/>
        <w:contextualSpacing w:val="0"/>
        <w:jc w:val="both"/>
        <w:rPr>
          <w:rFonts w:ascii="FrankRuehl" w:hAnsi="FrankRuehl" w:cs="FrankRuehl"/>
          <w:noProof w:val="0"/>
          <w:sz w:val="26"/>
          <w:szCs w:val="26"/>
        </w:rPr>
      </w:pPr>
      <w:r w:rsidRPr="00552A26">
        <w:rPr>
          <w:rFonts w:ascii="FrankRuehl" w:hAnsi="FrankRuehl" w:cs="FrankRuehl" w:hint="cs"/>
          <w:noProof w:val="0"/>
          <w:sz w:val="26"/>
          <w:szCs w:val="26"/>
          <w:rtl/>
        </w:rPr>
        <w:t>אשר לנפקות</w:t>
      </w:r>
      <w:r w:rsidR="00D462F1">
        <w:rPr>
          <w:rFonts w:ascii="FrankRuehl" w:hAnsi="FrankRuehl" w:cs="FrankRuehl" w:hint="cs"/>
          <w:noProof w:val="0"/>
          <w:sz w:val="26"/>
          <w:szCs w:val="26"/>
          <w:rtl/>
        </w:rPr>
        <w:t>ה</w:t>
      </w:r>
      <w:r w:rsidRPr="00552A26">
        <w:rPr>
          <w:rFonts w:ascii="FrankRuehl" w:hAnsi="FrankRuehl" w:cs="FrankRuehl" w:hint="cs"/>
          <w:noProof w:val="0"/>
          <w:sz w:val="26"/>
          <w:szCs w:val="26"/>
          <w:rtl/>
        </w:rPr>
        <w:t xml:space="preserve"> </w:t>
      </w:r>
      <w:r w:rsidR="00E070B1">
        <w:rPr>
          <w:rFonts w:ascii="FrankRuehl" w:hAnsi="FrankRuehl" w:cs="FrankRuehl" w:hint="cs"/>
          <w:noProof w:val="0"/>
          <w:sz w:val="26"/>
          <w:szCs w:val="26"/>
          <w:rtl/>
        </w:rPr>
        <w:t>של חתימה</w:t>
      </w:r>
      <w:r w:rsidR="005212E9">
        <w:rPr>
          <w:rFonts w:ascii="FrankRuehl" w:hAnsi="FrankRuehl" w:cs="FrankRuehl" w:hint="cs"/>
          <w:noProof w:val="0"/>
          <w:sz w:val="26"/>
          <w:szCs w:val="26"/>
          <w:rtl/>
        </w:rPr>
        <w:t xml:space="preserve"> על מסמך</w:t>
      </w:r>
      <w:r w:rsidR="00E070B1">
        <w:rPr>
          <w:rFonts w:ascii="FrankRuehl" w:hAnsi="FrankRuehl" w:cs="FrankRuehl" w:hint="cs"/>
          <w:noProof w:val="0"/>
          <w:sz w:val="26"/>
          <w:szCs w:val="26"/>
          <w:rtl/>
        </w:rPr>
        <w:t xml:space="preserve"> </w:t>
      </w:r>
      <w:r w:rsidRPr="00552A26">
        <w:rPr>
          <w:rFonts w:ascii="FrankRuehl" w:hAnsi="FrankRuehl" w:cs="FrankRuehl" w:hint="cs"/>
          <w:noProof w:val="0"/>
          <w:sz w:val="26"/>
          <w:szCs w:val="26"/>
          <w:rtl/>
        </w:rPr>
        <w:t>נפסק:</w:t>
      </w:r>
      <w:r w:rsidR="001F1C7D" w:rsidRPr="00552A26">
        <w:rPr>
          <w:rFonts w:ascii="FrankRuehl" w:hAnsi="FrankRuehl" w:cs="FrankRuehl" w:hint="cs"/>
          <w:noProof w:val="0"/>
          <w:sz w:val="26"/>
          <w:szCs w:val="26"/>
          <w:rtl/>
        </w:rPr>
        <w:t xml:space="preserve"> </w:t>
      </w:r>
      <w:r w:rsidR="001F1C7D" w:rsidRPr="00552A26">
        <w:rPr>
          <w:rFonts w:ascii="Miriam" w:hAnsi="Miriam" w:cs="Miriam"/>
          <w:color w:val="000000"/>
          <w:sz w:val="22"/>
          <w:szCs w:val="22"/>
          <w:rtl/>
        </w:rPr>
        <w:t>חתימתו של אדם על מסמך מהווה עדות לכך שאותו אדם קרא את המסמך, הסכים לאמור בו, והיה מודע למשמעות ולתוצאות חתימתו, ועל כן אין הוא יכול לנער חוצנו ממנו</w:t>
      </w:r>
      <w:r w:rsidR="00E93BBA" w:rsidRPr="00552A26">
        <w:rPr>
          <w:rFonts w:ascii="FrankRuehl" w:hAnsi="FrankRuehl" w:cs="FrankRuehl" w:hint="cs"/>
          <w:noProof w:val="0"/>
          <w:sz w:val="26"/>
          <w:szCs w:val="26"/>
          <w:rtl/>
        </w:rPr>
        <w:t xml:space="preserve"> (</w:t>
      </w:r>
      <w:r w:rsidR="00E93BBA" w:rsidRPr="00552A26">
        <w:rPr>
          <w:rFonts w:ascii="FrankRuehl" w:hAnsi="FrankRuehl" w:cs="FrankRuehl"/>
          <w:noProof w:val="0"/>
          <w:sz w:val="26"/>
          <w:szCs w:val="26"/>
          <w:rtl/>
        </w:rPr>
        <w:t>ע"א 1319/06 </w:t>
      </w:r>
      <w:r w:rsidR="00E93BBA" w:rsidRPr="00552A26">
        <w:rPr>
          <w:rFonts w:ascii="FrankRuehl" w:hAnsi="FrankRuehl" w:cs="FrankRuehl"/>
          <w:b/>
          <w:bCs/>
          <w:noProof w:val="0"/>
          <w:sz w:val="26"/>
          <w:szCs w:val="26"/>
          <w:rtl/>
        </w:rPr>
        <w:t>משה שלק נ' טנא נגה</w:t>
      </w:r>
      <w:r w:rsidR="00E93BBA" w:rsidRPr="00552A26">
        <w:rPr>
          <w:rFonts w:ascii="FrankRuehl" w:hAnsi="FrankRuehl" w:cs="FrankRuehl"/>
          <w:noProof w:val="0"/>
          <w:sz w:val="26"/>
          <w:szCs w:val="26"/>
          <w:rtl/>
        </w:rPr>
        <w:t xml:space="preserve"> (שווק) 1981 בע"מ (20.03.2007)</w:t>
      </w:r>
      <w:r w:rsidR="00E93BBA" w:rsidRPr="00552A26">
        <w:rPr>
          <w:rFonts w:ascii="FrankRuehl" w:hAnsi="FrankRuehl" w:cs="FrankRuehl" w:hint="cs"/>
          <w:noProof w:val="0"/>
          <w:sz w:val="26"/>
          <w:szCs w:val="26"/>
          <w:rtl/>
        </w:rPr>
        <w:t xml:space="preserve">, </w:t>
      </w:r>
      <w:r w:rsidR="001C6685" w:rsidRPr="00552A26">
        <w:rPr>
          <w:rFonts w:ascii="FrankRuehl" w:hAnsi="FrankRuehl" w:cs="FrankRuehl" w:hint="cs"/>
          <w:noProof w:val="0"/>
          <w:sz w:val="26"/>
          <w:szCs w:val="26"/>
          <w:rtl/>
        </w:rPr>
        <w:t xml:space="preserve">להלן: </w:t>
      </w:r>
      <w:r w:rsidR="001C6685" w:rsidRPr="00552A26">
        <w:rPr>
          <w:rFonts w:asciiTheme="minorBidi" w:hAnsiTheme="minorBidi" w:cstheme="minorBidi"/>
          <w:noProof w:val="0"/>
          <w:rtl/>
        </w:rPr>
        <w:t>עניין שלק</w:t>
      </w:r>
      <w:r w:rsidR="001C6685" w:rsidRPr="00552A26">
        <w:rPr>
          <w:rFonts w:ascii="FrankRuehl" w:hAnsi="FrankRuehl" w:cs="FrankRuehl" w:hint="cs"/>
          <w:noProof w:val="0"/>
          <w:sz w:val="26"/>
          <w:szCs w:val="26"/>
          <w:rtl/>
        </w:rPr>
        <w:t xml:space="preserve">, </w:t>
      </w:r>
      <w:r w:rsidR="00E93BBA" w:rsidRPr="00552A26">
        <w:rPr>
          <w:rFonts w:ascii="FrankRuehl" w:hAnsi="FrankRuehl" w:cs="FrankRuehl" w:hint="cs"/>
          <w:noProof w:val="0"/>
          <w:sz w:val="26"/>
          <w:szCs w:val="26"/>
          <w:rtl/>
        </w:rPr>
        <w:t xml:space="preserve">ומראי מקום שם). </w:t>
      </w:r>
      <w:r w:rsidR="00233489">
        <w:rPr>
          <w:rFonts w:ascii="FrankRuehl" w:hAnsi="FrankRuehl" w:cs="FrankRuehl"/>
          <w:noProof w:val="0"/>
          <w:sz w:val="26"/>
          <w:szCs w:val="26"/>
          <w:rtl/>
        </w:rPr>
        <w:tab/>
      </w:r>
      <w:r w:rsidR="00233489">
        <w:rPr>
          <w:rFonts w:ascii="FrankRuehl" w:hAnsi="FrankRuehl" w:cs="FrankRuehl"/>
          <w:noProof w:val="0"/>
          <w:sz w:val="26"/>
          <w:szCs w:val="26"/>
          <w:rtl/>
        </w:rPr>
        <w:br/>
      </w:r>
      <w:r w:rsidR="00233489">
        <w:rPr>
          <w:rFonts w:ascii="FrankRuehl" w:hAnsi="FrankRuehl" w:cs="FrankRuehl"/>
          <w:noProof w:val="0"/>
          <w:sz w:val="26"/>
          <w:szCs w:val="26"/>
          <w:rtl/>
        </w:rPr>
        <w:br/>
      </w:r>
      <w:r w:rsidR="00233489">
        <w:rPr>
          <w:rFonts w:ascii="FrankRuehl" w:hAnsi="FrankRuehl" w:cs="FrankRuehl"/>
          <w:noProof w:val="0"/>
          <w:sz w:val="26"/>
          <w:szCs w:val="26"/>
          <w:rtl/>
        </w:rPr>
        <w:br/>
      </w:r>
      <w:r w:rsidR="00E93BBA" w:rsidRPr="00552A26">
        <w:rPr>
          <w:rFonts w:ascii="FrankRuehl" w:hAnsi="FrankRuehl" w:cs="FrankRuehl" w:hint="cs"/>
          <w:noProof w:val="0"/>
          <w:sz w:val="26"/>
          <w:szCs w:val="26"/>
          <w:rtl/>
        </w:rPr>
        <w:lastRenderedPageBreak/>
        <w:t>עוד נפסק,</w:t>
      </w:r>
      <w:r w:rsidR="00E93BBA" w:rsidRPr="00552A26">
        <w:rPr>
          <w:rFonts w:ascii="FrankRuehl" w:hAnsi="FrankRuehl" w:cs="FrankRuehl" w:hint="cs"/>
          <w:color w:val="000000"/>
          <w:spacing w:val="10"/>
          <w:shd w:val="clear" w:color="auto" w:fill="FFFFFF"/>
          <w:rtl/>
        </w:rPr>
        <w:t xml:space="preserve"> </w:t>
      </w:r>
      <w:r w:rsidR="00E93BBA" w:rsidRPr="00552A26">
        <w:rPr>
          <w:rFonts w:ascii="Miriam" w:hAnsi="Miriam" w:cs="Miriam"/>
          <w:color w:val="000000"/>
          <w:sz w:val="22"/>
          <w:szCs w:val="22"/>
          <w:rtl/>
        </w:rPr>
        <w:t>שחתימתו של צד על גבי חוזה כתוב מהווה ראיה חזקה (אולי מכל ראיה אחרת) לגמירת דעתו</w:t>
      </w:r>
      <w:r w:rsidR="00E93BBA" w:rsidRPr="00552A26">
        <w:rPr>
          <w:rFonts w:ascii="FrankRuehl" w:hAnsi="FrankRuehl" w:cs="FrankRuehl" w:hint="cs"/>
          <w:color w:val="000000"/>
          <w:spacing w:val="10"/>
          <w:sz w:val="28"/>
          <w:szCs w:val="28"/>
          <w:shd w:val="clear" w:color="auto" w:fill="FFFFFF"/>
          <w:rtl/>
        </w:rPr>
        <w:t xml:space="preserve"> </w:t>
      </w:r>
      <w:r w:rsidR="00E93BBA" w:rsidRPr="00552A26">
        <w:rPr>
          <w:rFonts w:ascii="FrankRuehl" w:hAnsi="FrankRuehl" w:cs="FrankRuehl" w:hint="cs"/>
          <w:noProof w:val="0"/>
          <w:sz w:val="26"/>
          <w:szCs w:val="26"/>
          <w:rtl/>
        </w:rPr>
        <w:t>(</w:t>
      </w:r>
      <w:r w:rsidR="00E93BBA" w:rsidRPr="00552A26">
        <w:rPr>
          <w:rFonts w:ascii="FrankRuehl" w:hAnsi="FrankRuehl" w:cs="FrankRuehl"/>
          <w:noProof w:val="0"/>
          <w:sz w:val="26"/>
          <w:szCs w:val="26"/>
          <w:rtl/>
        </w:rPr>
        <w:t>ע"א 692/86 </w:t>
      </w:r>
      <w:r w:rsidR="00E93BBA" w:rsidRPr="00D462F1">
        <w:rPr>
          <w:rFonts w:ascii="FrankRuehl" w:hAnsi="FrankRuehl" w:cs="FrankRuehl"/>
          <w:b/>
          <w:bCs/>
          <w:noProof w:val="0"/>
          <w:sz w:val="26"/>
          <w:szCs w:val="26"/>
          <w:rtl/>
        </w:rPr>
        <w:t>יעקב בוטקובסקי ושות' - חברה לייבוא ושיווק בע"מ נ' אליהו גת</w:t>
      </w:r>
      <w:r w:rsidR="00E93BBA" w:rsidRPr="00552A26">
        <w:rPr>
          <w:rFonts w:ascii="FrankRuehl" w:hAnsi="FrankRuehl" w:cs="FrankRuehl"/>
          <w:noProof w:val="0"/>
          <w:sz w:val="26"/>
          <w:szCs w:val="26"/>
        </w:rPr>
        <w:t>,</w:t>
      </w:r>
      <w:r w:rsidR="001C6685" w:rsidRPr="00552A26">
        <w:rPr>
          <w:rFonts w:ascii="FrankRuehl" w:hAnsi="FrankRuehl" w:cs="FrankRuehl" w:hint="cs"/>
          <w:noProof w:val="0"/>
          <w:sz w:val="26"/>
          <w:szCs w:val="26"/>
          <w:rtl/>
        </w:rPr>
        <w:t xml:space="preserve"> פ"ד </w:t>
      </w:r>
      <w:r w:rsidR="00E93BBA" w:rsidRPr="00552A26">
        <w:rPr>
          <w:rFonts w:ascii="FrankRuehl" w:hAnsi="FrankRuehl" w:cs="FrankRuehl"/>
          <w:noProof w:val="0"/>
          <w:sz w:val="26"/>
          <w:szCs w:val="26"/>
          <w:rtl/>
        </w:rPr>
        <w:t>מד(1) 57</w:t>
      </w:r>
      <w:r w:rsidR="00E93BBA" w:rsidRPr="00552A26">
        <w:rPr>
          <w:rFonts w:ascii="FrankRuehl" w:hAnsi="FrankRuehl" w:cs="FrankRuehl" w:hint="cs"/>
          <w:noProof w:val="0"/>
          <w:sz w:val="26"/>
          <w:szCs w:val="26"/>
          <w:rtl/>
        </w:rPr>
        <w:t>, 70</w:t>
      </w:r>
      <w:r w:rsidR="00E93BBA" w:rsidRPr="00552A26">
        <w:rPr>
          <w:rFonts w:ascii="FrankRuehl" w:hAnsi="FrankRuehl" w:cs="FrankRuehl"/>
          <w:noProof w:val="0"/>
          <w:sz w:val="26"/>
          <w:szCs w:val="26"/>
          <w:rtl/>
        </w:rPr>
        <w:t xml:space="preserve"> (1989)</w:t>
      </w:r>
      <w:r w:rsidR="00E93BBA" w:rsidRPr="00552A26">
        <w:rPr>
          <w:rFonts w:ascii="FrankRuehl" w:hAnsi="FrankRuehl" w:cs="FrankRuehl" w:hint="cs"/>
          <w:noProof w:val="0"/>
          <w:sz w:val="26"/>
          <w:szCs w:val="26"/>
          <w:rtl/>
        </w:rPr>
        <w:t xml:space="preserve">. </w:t>
      </w:r>
      <w:r w:rsidR="00D462F1">
        <w:rPr>
          <w:rFonts w:ascii="FrankRuehl" w:hAnsi="FrankRuehl" w:cs="FrankRuehl" w:hint="cs"/>
          <w:noProof w:val="0"/>
          <w:sz w:val="26"/>
          <w:szCs w:val="26"/>
          <w:rtl/>
        </w:rPr>
        <w:t xml:space="preserve">כן ר', </w:t>
      </w:r>
      <w:r w:rsidR="00E93BBA" w:rsidRPr="00552A26">
        <w:rPr>
          <w:rFonts w:ascii="FrankRuehl" w:hAnsi="FrankRuehl" w:cs="FrankRuehl"/>
          <w:noProof w:val="0"/>
          <w:sz w:val="26"/>
          <w:szCs w:val="26"/>
          <w:rtl/>
        </w:rPr>
        <w:t xml:space="preserve">ע"א 571/79 </w:t>
      </w:r>
      <w:r w:rsidR="00E93BBA" w:rsidRPr="00D462F1">
        <w:rPr>
          <w:rFonts w:ascii="FrankRuehl" w:hAnsi="FrankRuehl" w:cs="FrankRuehl"/>
          <w:b/>
          <w:bCs/>
          <w:noProof w:val="0"/>
          <w:sz w:val="26"/>
          <w:szCs w:val="26"/>
          <w:rtl/>
        </w:rPr>
        <w:t>דירות מקסים בע"מ נ' דינה ג'רבי</w:t>
      </w:r>
      <w:r w:rsidR="00E93BBA" w:rsidRPr="00552A26">
        <w:rPr>
          <w:rFonts w:ascii="FrankRuehl" w:hAnsi="FrankRuehl" w:cs="FrankRuehl"/>
          <w:noProof w:val="0"/>
          <w:sz w:val="26"/>
          <w:szCs w:val="26"/>
          <w:rtl/>
        </w:rPr>
        <w:t xml:space="preserve">, </w:t>
      </w:r>
      <w:r w:rsidR="001C6685" w:rsidRPr="00552A26">
        <w:rPr>
          <w:rFonts w:ascii="FrankRuehl" w:hAnsi="FrankRuehl" w:cs="FrankRuehl" w:hint="cs"/>
          <w:noProof w:val="0"/>
          <w:sz w:val="26"/>
          <w:szCs w:val="26"/>
          <w:rtl/>
        </w:rPr>
        <w:t xml:space="preserve">פ"ד </w:t>
      </w:r>
      <w:r w:rsidR="00E93BBA" w:rsidRPr="00552A26">
        <w:rPr>
          <w:rFonts w:ascii="FrankRuehl" w:hAnsi="FrankRuehl" w:cs="FrankRuehl"/>
          <w:noProof w:val="0"/>
          <w:sz w:val="26"/>
          <w:szCs w:val="26"/>
          <w:rtl/>
        </w:rPr>
        <w:t>לז(1) 589</w:t>
      </w:r>
      <w:r w:rsidR="00E93BBA" w:rsidRPr="00552A26">
        <w:rPr>
          <w:rFonts w:ascii="FrankRuehl" w:hAnsi="FrankRuehl" w:cs="FrankRuehl" w:hint="cs"/>
          <w:noProof w:val="0"/>
          <w:sz w:val="26"/>
          <w:szCs w:val="26"/>
          <w:rtl/>
        </w:rPr>
        <w:t>, 605</w:t>
      </w:r>
      <w:r w:rsidR="00E93BBA" w:rsidRPr="00552A26">
        <w:rPr>
          <w:rFonts w:ascii="FrankRuehl" w:hAnsi="FrankRuehl" w:cs="FrankRuehl"/>
          <w:noProof w:val="0"/>
          <w:sz w:val="26"/>
          <w:szCs w:val="26"/>
        </w:rPr>
        <w:t xml:space="preserve"> (1983)</w:t>
      </w:r>
      <w:r w:rsidR="001C6685" w:rsidRPr="00552A26">
        <w:rPr>
          <w:rFonts w:ascii="FrankRuehl" w:hAnsi="FrankRuehl" w:cs="FrankRuehl"/>
          <w:noProof w:val="0"/>
          <w:sz w:val="26"/>
          <w:szCs w:val="26"/>
        </w:rPr>
        <w:t xml:space="preserve"> </w:t>
      </w:r>
      <w:r w:rsidR="001C6685" w:rsidRPr="00552A26">
        <w:rPr>
          <w:rFonts w:ascii="FrankRuehl" w:hAnsi="FrankRuehl" w:cs="FrankRuehl" w:hint="cs"/>
          <w:noProof w:val="0"/>
          <w:sz w:val="26"/>
          <w:szCs w:val="26"/>
          <w:rtl/>
        </w:rPr>
        <w:t xml:space="preserve">). </w:t>
      </w:r>
      <w:r w:rsidR="00E93BBA" w:rsidRPr="00552A26">
        <w:rPr>
          <w:rFonts w:ascii="FrankRuehl" w:hAnsi="FrankRuehl" w:cs="FrankRuehl"/>
          <w:noProof w:val="0"/>
          <w:sz w:val="26"/>
          <w:szCs w:val="26"/>
          <w:rtl/>
        </w:rPr>
        <w:t>הנטל ל</w:t>
      </w:r>
      <w:r w:rsidR="00E93BBA" w:rsidRPr="00552A26">
        <w:rPr>
          <w:rFonts w:ascii="FrankRuehl" w:hAnsi="FrankRuehl" w:cs="FrankRuehl" w:hint="cs"/>
          <w:noProof w:val="0"/>
          <w:sz w:val="26"/>
          <w:szCs w:val="26"/>
          <w:rtl/>
        </w:rPr>
        <w:t>סתירת חזק</w:t>
      </w:r>
      <w:r w:rsidR="001C6685" w:rsidRPr="00552A26">
        <w:rPr>
          <w:rFonts w:ascii="FrankRuehl" w:hAnsi="FrankRuehl" w:cs="FrankRuehl" w:hint="cs"/>
          <w:noProof w:val="0"/>
          <w:sz w:val="26"/>
          <w:szCs w:val="26"/>
          <w:rtl/>
        </w:rPr>
        <w:t xml:space="preserve">ות אלה </w:t>
      </w:r>
      <w:r w:rsidR="00E93BBA" w:rsidRPr="00552A26">
        <w:rPr>
          <w:rFonts w:ascii="Miriam" w:hAnsi="Miriam" w:cs="Miriam"/>
          <w:color w:val="000000"/>
          <w:sz w:val="22"/>
          <w:szCs w:val="22"/>
          <w:rtl/>
        </w:rPr>
        <w:t>הוא כבד מן הנטל הנדרש להוכחת טענות אחר</w:t>
      </w:r>
      <w:r w:rsidR="005212E9">
        <w:rPr>
          <w:rFonts w:ascii="Miriam" w:hAnsi="Miriam" w:cs="Miriam"/>
          <w:color w:val="000000"/>
          <w:sz w:val="22"/>
          <w:szCs w:val="22"/>
          <w:rtl/>
        </w:rPr>
        <w:t>ות במשפטים אזרחיים, והמעלים טענ</w:t>
      </w:r>
      <w:r w:rsidR="005212E9">
        <w:rPr>
          <w:rFonts w:ascii="Miriam" w:hAnsi="Miriam" w:cs="Miriam" w:hint="cs"/>
          <w:color w:val="000000"/>
          <w:sz w:val="22"/>
          <w:szCs w:val="22"/>
          <w:rtl/>
        </w:rPr>
        <w:t>ה</w:t>
      </w:r>
      <w:r w:rsidR="00E93BBA" w:rsidRPr="00552A26">
        <w:rPr>
          <w:rFonts w:ascii="Miriam" w:hAnsi="Miriam" w:cs="Miriam"/>
          <w:color w:val="000000"/>
          <w:sz w:val="22"/>
          <w:szCs w:val="22"/>
          <w:rtl/>
        </w:rPr>
        <w:t xml:space="preserve"> זו נדרשים לתמוך אותה בראיות פוזיטיביות כאפשרות קרובה</w:t>
      </w:r>
      <w:r w:rsidR="001F1C7D" w:rsidRPr="00552A26">
        <w:rPr>
          <w:rFonts w:ascii="FrankRuehl" w:hAnsi="FrankRuehl" w:cs="FrankRuehl" w:hint="cs"/>
          <w:noProof w:val="0"/>
          <w:sz w:val="26"/>
          <w:szCs w:val="26"/>
          <w:rtl/>
        </w:rPr>
        <w:t xml:space="preserve"> </w:t>
      </w:r>
      <w:r w:rsidR="00E93BBA" w:rsidRPr="00552A26">
        <w:rPr>
          <w:rFonts w:ascii="FrankRuehl" w:hAnsi="FrankRuehl" w:cs="FrankRuehl" w:hint="cs"/>
          <w:noProof w:val="0"/>
          <w:sz w:val="26"/>
          <w:szCs w:val="26"/>
          <w:rtl/>
        </w:rPr>
        <w:t>(</w:t>
      </w:r>
      <w:r w:rsidRPr="00552A26">
        <w:rPr>
          <w:rFonts w:ascii="FrankRuehl" w:hAnsi="FrankRuehl" w:cs="FrankRuehl" w:hint="cs"/>
          <w:noProof w:val="0"/>
          <w:sz w:val="26"/>
          <w:szCs w:val="26"/>
          <w:rtl/>
        </w:rPr>
        <w:t>עניין שלק</w:t>
      </w:r>
      <w:r w:rsidR="00E93BBA" w:rsidRPr="00552A26">
        <w:rPr>
          <w:rFonts w:ascii="FrankRuehl" w:hAnsi="FrankRuehl" w:cs="FrankRuehl" w:hint="cs"/>
          <w:noProof w:val="0"/>
          <w:sz w:val="26"/>
          <w:szCs w:val="26"/>
          <w:rtl/>
        </w:rPr>
        <w:t>).</w:t>
      </w:r>
      <w:r w:rsidR="00D07BC5" w:rsidRPr="00552A26">
        <w:rPr>
          <w:rFonts w:ascii="FrankRuehl" w:hAnsi="FrankRuehl" w:cs="FrankRuehl" w:hint="cs"/>
          <w:noProof w:val="0"/>
          <w:sz w:val="26"/>
          <w:szCs w:val="26"/>
          <w:rtl/>
        </w:rPr>
        <w:t xml:space="preserve"> הלכות אלה, שנקבעו במשקפי החותם הסביר, אמורות ביתר שאת בנוגע לנתבעת, שהינה אדם ברוך כ</w:t>
      </w:r>
      <w:r w:rsidR="005E2AD6" w:rsidRPr="00552A26">
        <w:rPr>
          <w:rFonts w:ascii="FrankRuehl" w:hAnsi="FrankRuehl" w:cs="FrankRuehl" w:hint="cs"/>
          <w:noProof w:val="0"/>
          <w:sz w:val="26"/>
          <w:szCs w:val="26"/>
          <w:rtl/>
        </w:rPr>
        <w:t>י</w:t>
      </w:r>
      <w:r w:rsidR="00D07BC5" w:rsidRPr="00552A26">
        <w:rPr>
          <w:rFonts w:ascii="FrankRuehl" w:hAnsi="FrankRuehl" w:cs="FrankRuehl" w:hint="cs"/>
          <w:noProof w:val="0"/>
          <w:sz w:val="26"/>
          <w:szCs w:val="26"/>
          <w:rtl/>
        </w:rPr>
        <w:t>שרונות</w:t>
      </w:r>
      <w:r w:rsidR="005E2AD6" w:rsidRPr="00552A26">
        <w:rPr>
          <w:rFonts w:ascii="FrankRuehl" w:hAnsi="FrankRuehl" w:cs="FrankRuehl" w:hint="cs"/>
          <w:noProof w:val="0"/>
          <w:sz w:val="26"/>
          <w:szCs w:val="26"/>
          <w:rtl/>
        </w:rPr>
        <w:t>, ובעת הרלוונטית סטודנטית לתואר דוקטור.</w:t>
      </w:r>
      <w:r w:rsidR="00BC1F6C" w:rsidRPr="00552A26">
        <w:rPr>
          <w:rFonts w:ascii="FrankRuehl" w:hAnsi="FrankRuehl" w:cs="FrankRuehl" w:hint="cs"/>
          <w:noProof w:val="0"/>
          <w:sz w:val="26"/>
          <w:szCs w:val="26"/>
          <w:rtl/>
        </w:rPr>
        <w:t xml:space="preserve"> יתירה מזו, ההסכם אינו פתק בן מספר שורות, אלא הסכם לא קצר, המנוסח כולו בלשון משפטית דווקנית, כולל מונחים משפטיים והתחייבויות ברורות. </w:t>
      </w:r>
      <w:r w:rsidR="004F7F78">
        <w:rPr>
          <w:rFonts w:ascii="FrankRuehl" w:hAnsi="FrankRuehl" w:cs="FrankRuehl" w:hint="cs"/>
          <w:noProof w:val="0"/>
          <w:sz w:val="26"/>
          <w:szCs w:val="26"/>
          <w:rtl/>
        </w:rPr>
        <w:t>אין חולק שהנתבעת חתמה על ההסכם</w:t>
      </w:r>
      <w:r w:rsidR="001042C2">
        <w:rPr>
          <w:rFonts w:ascii="FrankRuehl" w:hAnsi="FrankRuehl" w:cs="FrankRuehl" w:hint="cs"/>
          <w:noProof w:val="0"/>
          <w:sz w:val="26"/>
          <w:szCs w:val="26"/>
          <w:rtl/>
        </w:rPr>
        <w:t>,</w:t>
      </w:r>
      <w:r w:rsidR="004F7F78">
        <w:rPr>
          <w:rFonts w:ascii="FrankRuehl" w:hAnsi="FrankRuehl" w:cs="FrankRuehl" w:hint="cs"/>
          <w:noProof w:val="0"/>
          <w:sz w:val="26"/>
          <w:szCs w:val="26"/>
          <w:rtl/>
        </w:rPr>
        <w:t xml:space="preserve"> לאחר שקראה אותו (עמ' 235 שו' 11-26), ולאחר שהייתה מודעת גם לסעיפים אודות חלוק</w:t>
      </w:r>
      <w:r w:rsidR="00123210">
        <w:rPr>
          <w:rFonts w:ascii="FrankRuehl" w:hAnsi="FrankRuehl" w:cs="FrankRuehl" w:hint="cs"/>
          <w:noProof w:val="0"/>
          <w:sz w:val="26"/>
          <w:szCs w:val="26"/>
          <w:rtl/>
        </w:rPr>
        <w:t>ת</w:t>
      </w:r>
      <w:r w:rsidR="004F7F78">
        <w:rPr>
          <w:rFonts w:ascii="FrankRuehl" w:hAnsi="FrankRuehl" w:cs="FrankRuehl" w:hint="cs"/>
          <w:noProof w:val="0"/>
          <w:sz w:val="26"/>
          <w:szCs w:val="26"/>
          <w:rtl/>
        </w:rPr>
        <w:t xml:space="preserve"> </w:t>
      </w:r>
      <w:r w:rsidR="00123210">
        <w:rPr>
          <w:rFonts w:ascii="FrankRuehl" w:hAnsi="FrankRuehl" w:cs="FrankRuehl" w:hint="cs"/>
          <w:noProof w:val="0"/>
          <w:sz w:val="26"/>
          <w:szCs w:val="26"/>
          <w:rtl/>
        </w:rPr>
        <w:t>ה</w:t>
      </w:r>
      <w:r w:rsidR="004F7F78">
        <w:rPr>
          <w:rFonts w:ascii="FrankRuehl" w:hAnsi="FrankRuehl" w:cs="FrankRuehl" w:hint="cs"/>
          <w:noProof w:val="0"/>
          <w:sz w:val="26"/>
          <w:szCs w:val="26"/>
          <w:rtl/>
        </w:rPr>
        <w:t>רכוש (עמ' 236 שו' 8-9)</w:t>
      </w:r>
      <w:r w:rsidR="004F7F78" w:rsidRPr="00552A26">
        <w:rPr>
          <w:rFonts w:ascii="FrankRuehl" w:hAnsi="FrankRuehl" w:cs="FrankRuehl" w:hint="cs"/>
          <w:noProof w:val="0"/>
          <w:sz w:val="26"/>
          <w:szCs w:val="26"/>
          <w:rtl/>
        </w:rPr>
        <w:t xml:space="preserve">. </w:t>
      </w:r>
      <w:r w:rsidR="00BC1F6C" w:rsidRPr="00552A26">
        <w:rPr>
          <w:rFonts w:ascii="FrankRuehl" w:hAnsi="FrankRuehl" w:cs="FrankRuehl" w:hint="cs"/>
          <w:noProof w:val="0"/>
          <w:sz w:val="26"/>
          <w:szCs w:val="26"/>
          <w:rtl/>
        </w:rPr>
        <w:t>במשקפי</w:t>
      </w:r>
      <w:r w:rsidR="00552A26" w:rsidRPr="00552A26">
        <w:rPr>
          <w:rFonts w:ascii="FrankRuehl" w:hAnsi="FrankRuehl" w:cs="FrankRuehl" w:hint="cs"/>
          <w:noProof w:val="0"/>
          <w:sz w:val="26"/>
          <w:szCs w:val="26"/>
          <w:rtl/>
        </w:rPr>
        <w:t>ים אובייקטיביים (</w:t>
      </w:r>
      <w:r w:rsidR="00BC1F6C" w:rsidRPr="00552A26">
        <w:rPr>
          <w:rFonts w:ascii="FrankRuehl" w:hAnsi="FrankRuehl" w:cs="FrankRuehl" w:hint="cs"/>
          <w:noProof w:val="0"/>
          <w:sz w:val="26"/>
          <w:szCs w:val="26"/>
          <w:rtl/>
        </w:rPr>
        <w:t>וכך יש לבחון את אומד דעת הצדדים</w:t>
      </w:r>
      <w:r w:rsidR="00552A26" w:rsidRPr="00552A26">
        <w:rPr>
          <w:rFonts w:ascii="FrankRuehl" w:hAnsi="FrankRuehl" w:cs="FrankRuehl" w:hint="cs"/>
          <w:noProof w:val="0"/>
          <w:sz w:val="26"/>
          <w:szCs w:val="26"/>
          <w:rtl/>
        </w:rPr>
        <w:t xml:space="preserve">, ר', למשל, </w:t>
      </w:r>
      <w:r w:rsidR="00552A26" w:rsidRPr="00552A26">
        <w:rPr>
          <w:rFonts w:ascii="FrankRuehl" w:hAnsi="FrankRuehl" w:cs="FrankRuehl"/>
          <w:noProof w:val="0"/>
          <w:sz w:val="26"/>
          <w:szCs w:val="26"/>
          <w:rtl/>
        </w:rPr>
        <w:t>ע"א 3354/18 </w:t>
      </w:r>
      <w:r w:rsidR="00552A26" w:rsidRPr="00552A26">
        <w:rPr>
          <w:rFonts w:ascii="FrankRuehl" w:hAnsi="FrankRuehl" w:cs="FrankRuehl"/>
          <w:b/>
          <w:bCs/>
          <w:noProof w:val="0"/>
          <w:sz w:val="26"/>
          <w:szCs w:val="26"/>
          <w:rtl/>
        </w:rPr>
        <w:t>פלונית נ' פלונית</w:t>
      </w:r>
      <w:r w:rsidR="00552A26" w:rsidRPr="00552A26">
        <w:rPr>
          <w:rFonts w:ascii="FrankRuehl" w:hAnsi="FrankRuehl" w:cs="FrankRuehl"/>
          <w:noProof w:val="0"/>
          <w:sz w:val="26"/>
          <w:szCs w:val="26"/>
          <w:rtl/>
        </w:rPr>
        <w:t> (23.03.2020)</w:t>
      </w:r>
      <w:r w:rsidR="00D462F1">
        <w:rPr>
          <w:rFonts w:ascii="FrankRuehl" w:hAnsi="FrankRuehl" w:cs="FrankRuehl" w:hint="cs"/>
          <w:noProof w:val="0"/>
          <w:sz w:val="26"/>
          <w:szCs w:val="26"/>
          <w:rtl/>
        </w:rPr>
        <w:t xml:space="preserve"> </w:t>
      </w:r>
      <w:r w:rsidR="00552A26" w:rsidRPr="00552A26">
        <w:rPr>
          <w:rFonts w:ascii="FrankRuehl" w:hAnsi="FrankRuehl" w:cs="FrankRuehl" w:hint="cs"/>
          <w:noProof w:val="0"/>
          <w:sz w:val="26"/>
          <w:szCs w:val="26"/>
          <w:rtl/>
        </w:rPr>
        <w:t>)</w:t>
      </w:r>
      <w:r w:rsidR="00552A26">
        <w:rPr>
          <w:rFonts w:ascii="FrankRuehl" w:hAnsi="FrankRuehl" w:cs="FrankRuehl" w:hint="cs"/>
          <w:noProof w:val="0"/>
          <w:sz w:val="26"/>
          <w:szCs w:val="26"/>
          <w:rtl/>
        </w:rPr>
        <w:t>, אין מנוס מ</w:t>
      </w:r>
      <w:r w:rsidR="005212E9">
        <w:rPr>
          <w:rFonts w:ascii="FrankRuehl" w:hAnsi="FrankRuehl" w:cs="FrankRuehl" w:hint="cs"/>
          <w:noProof w:val="0"/>
          <w:sz w:val="26"/>
          <w:szCs w:val="26"/>
          <w:rtl/>
        </w:rPr>
        <w:t>להסיק, ש</w:t>
      </w:r>
      <w:r w:rsidR="00175F9A">
        <w:rPr>
          <w:rFonts w:ascii="FrankRuehl" w:hAnsi="FrankRuehl" w:cs="FrankRuehl" w:hint="cs"/>
          <w:noProof w:val="0"/>
          <w:sz w:val="26"/>
          <w:szCs w:val="26"/>
          <w:rtl/>
        </w:rPr>
        <w:t xml:space="preserve">הנתבעת </w:t>
      </w:r>
      <w:r w:rsidR="005212E9">
        <w:rPr>
          <w:rFonts w:ascii="FrankRuehl" w:hAnsi="FrankRuehl" w:cs="FrankRuehl" w:hint="cs"/>
          <w:noProof w:val="0"/>
          <w:sz w:val="26"/>
          <w:szCs w:val="26"/>
          <w:rtl/>
        </w:rPr>
        <w:t xml:space="preserve">גמרה בדעתה, </w:t>
      </w:r>
      <w:r w:rsidR="00552A26">
        <w:rPr>
          <w:rFonts w:ascii="FrankRuehl" w:hAnsi="FrankRuehl" w:cs="FrankRuehl" w:hint="cs"/>
          <w:noProof w:val="0"/>
          <w:sz w:val="26"/>
          <w:szCs w:val="26"/>
          <w:rtl/>
        </w:rPr>
        <w:t xml:space="preserve">להתקשר בהסכם </w:t>
      </w:r>
      <w:r w:rsidR="00111F51">
        <w:rPr>
          <w:rFonts w:ascii="FrankRuehl" w:hAnsi="FrankRuehl" w:cs="FrankRuehl" w:hint="cs"/>
          <w:noProof w:val="0"/>
          <w:sz w:val="26"/>
          <w:szCs w:val="26"/>
          <w:rtl/>
        </w:rPr>
        <w:t xml:space="preserve">משפטי </w:t>
      </w:r>
      <w:r w:rsidR="00552A26">
        <w:rPr>
          <w:rFonts w:ascii="FrankRuehl" w:hAnsi="FrankRuehl" w:cs="FrankRuehl" w:hint="cs"/>
          <w:noProof w:val="0"/>
          <w:sz w:val="26"/>
          <w:szCs w:val="26"/>
          <w:rtl/>
        </w:rPr>
        <w:t>מחייב.</w:t>
      </w:r>
      <w:r w:rsidR="00F735E6">
        <w:rPr>
          <w:rFonts w:ascii="FrankRuehl" w:hAnsi="FrankRuehl" w:cs="FrankRuehl" w:hint="cs"/>
          <w:noProof w:val="0"/>
          <w:sz w:val="26"/>
          <w:szCs w:val="26"/>
          <w:rtl/>
        </w:rPr>
        <w:t xml:space="preserve"> </w:t>
      </w:r>
    </w:p>
    <w:p w:rsidR="00B55ED8" w:rsidRDefault="004E5E2E" w:rsidP="00123210">
      <w:pPr>
        <w:pStyle w:val="ad"/>
        <w:numPr>
          <w:ilvl w:val="0"/>
          <w:numId w:val="1"/>
        </w:numPr>
        <w:spacing w:after="240" w:line="360" w:lineRule="auto"/>
        <w:contextualSpacing w:val="0"/>
        <w:jc w:val="both"/>
        <w:rPr>
          <w:rFonts w:ascii="FrankRuehl" w:hAnsi="FrankRuehl" w:cs="FrankRuehl"/>
          <w:noProof w:val="0"/>
          <w:sz w:val="26"/>
          <w:szCs w:val="26"/>
        </w:rPr>
      </w:pPr>
      <w:r>
        <w:rPr>
          <w:rFonts w:ascii="FrankRuehl" w:hAnsi="FrankRuehl" w:cs="FrankRuehl" w:hint="cs"/>
          <w:noProof w:val="0"/>
          <w:sz w:val="26"/>
          <w:szCs w:val="26"/>
          <w:rtl/>
        </w:rPr>
        <w:t xml:space="preserve">אשר לסעיף 1.4, העוסק בנושאים מיניים </w:t>
      </w:r>
      <w:r w:rsidR="00F27239">
        <w:rPr>
          <w:rFonts w:ascii="FrankRuehl" w:hAnsi="FrankRuehl" w:cs="FrankRuehl"/>
          <w:noProof w:val="0"/>
          <w:sz w:val="26"/>
          <w:szCs w:val="26"/>
          <w:rtl/>
        </w:rPr>
        <w:t>–</w:t>
      </w:r>
      <w:r>
        <w:rPr>
          <w:rFonts w:ascii="FrankRuehl" w:hAnsi="FrankRuehl" w:cs="FrankRuehl" w:hint="cs"/>
          <w:noProof w:val="0"/>
          <w:sz w:val="26"/>
          <w:szCs w:val="26"/>
          <w:rtl/>
        </w:rPr>
        <w:t xml:space="preserve"> </w:t>
      </w:r>
      <w:r w:rsidR="00F27239">
        <w:rPr>
          <w:rFonts w:ascii="FrankRuehl" w:hAnsi="FrankRuehl" w:cs="FrankRuehl" w:hint="cs"/>
          <w:noProof w:val="0"/>
          <w:sz w:val="26"/>
          <w:szCs w:val="26"/>
          <w:rtl/>
        </w:rPr>
        <w:t>אכן, מדובר בנושא</w:t>
      </w:r>
      <w:r w:rsidR="00D462F1">
        <w:rPr>
          <w:rFonts w:ascii="FrankRuehl" w:hAnsi="FrankRuehl" w:cs="FrankRuehl" w:hint="cs"/>
          <w:noProof w:val="0"/>
          <w:sz w:val="26"/>
          <w:szCs w:val="26"/>
          <w:rtl/>
        </w:rPr>
        <w:t>, שאין לצפות למצ</w:t>
      </w:r>
      <w:r w:rsidR="005212E9">
        <w:rPr>
          <w:rFonts w:ascii="FrankRuehl" w:hAnsi="FrankRuehl" w:cs="FrankRuehl" w:hint="cs"/>
          <w:noProof w:val="0"/>
          <w:sz w:val="26"/>
          <w:szCs w:val="26"/>
          <w:rtl/>
        </w:rPr>
        <w:t>וא</w:t>
      </w:r>
      <w:r w:rsidR="00D462F1">
        <w:rPr>
          <w:rFonts w:ascii="FrankRuehl" w:hAnsi="FrankRuehl" w:cs="FrankRuehl" w:hint="cs"/>
          <w:noProof w:val="0"/>
          <w:sz w:val="26"/>
          <w:szCs w:val="26"/>
          <w:rtl/>
        </w:rPr>
        <w:t xml:space="preserve"> בהסכם </w:t>
      </w:r>
      <w:r w:rsidR="00123210">
        <w:rPr>
          <w:rFonts w:ascii="FrankRuehl" w:hAnsi="FrankRuehl" w:cs="FrankRuehl" w:hint="cs"/>
          <w:noProof w:val="0"/>
          <w:sz w:val="26"/>
          <w:szCs w:val="26"/>
          <w:rtl/>
        </w:rPr>
        <w:t>בר תוקף.</w:t>
      </w:r>
      <w:r w:rsidR="00D462F1">
        <w:rPr>
          <w:rFonts w:ascii="FrankRuehl" w:hAnsi="FrankRuehl" w:cs="FrankRuehl" w:hint="cs"/>
          <w:noProof w:val="0"/>
          <w:sz w:val="26"/>
          <w:szCs w:val="26"/>
          <w:rtl/>
        </w:rPr>
        <w:t xml:space="preserve"> ברם, </w:t>
      </w:r>
      <w:r w:rsidR="00123210">
        <w:rPr>
          <w:rFonts w:ascii="FrankRuehl" w:hAnsi="FrankRuehl" w:cs="FrankRuehl" w:hint="cs"/>
          <w:noProof w:val="0"/>
          <w:sz w:val="26"/>
          <w:szCs w:val="26"/>
          <w:rtl/>
        </w:rPr>
        <w:t xml:space="preserve">בנסיבות העניין, </w:t>
      </w:r>
      <w:r w:rsidR="00D462F1">
        <w:rPr>
          <w:rFonts w:ascii="FrankRuehl" w:hAnsi="FrankRuehl" w:cs="FrankRuehl" w:hint="cs"/>
          <w:noProof w:val="0"/>
          <w:sz w:val="26"/>
          <w:szCs w:val="26"/>
          <w:rtl/>
        </w:rPr>
        <w:t xml:space="preserve">אין בכך משום ראיה להיעדרה של גמירות דעת, מכמה טעמים: </w:t>
      </w:r>
      <w:r w:rsidR="00D462F1" w:rsidRPr="00C9182A">
        <w:rPr>
          <w:rFonts w:ascii="FrankRuehl" w:hAnsi="FrankRuehl" w:cs="FrankRuehl" w:hint="cs"/>
          <w:b/>
          <w:bCs/>
          <w:noProof w:val="0"/>
          <w:sz w:val="26"/>
          <w:szCs w:val="26"/>
          <w:rtl/>
        </w:rPr>
        <w:t>ראשית</w:t>
      </w:r>
      <w:r w:rsidR="00D462F1">
        <w:rPr>
          <w:rFonts w:ascii="FrankRuehl" w:hAnsi="FrankRuehl" w:cs="FrankRuehl" w:hint="cs"/>
          <w:noProof w:val="0"/>
          <w:sz w:val="26"/>
          <w:szCs w:val="26"/>
          <w:rtl/>
        </w:rPr>
        <w:t xml:space="preserve">, </w:t>
      </w:r>
      <w:r w:rsidR="00111F51">
        <w:rPr>
          <w:rFonts w:ascii="FrankRuehl" w:hAnsi="FrankRuehl" w:cs="FrankRuehl" w:hint="cs"/>
          <w:noProof w:val="0"/>
          <w:sz w:val="26"/>
          <w:szCs w:val="26"/>
          <w:rtl/>
        </w:rPr>
        <w:t>בהסכם גופו הצהירו הצדדים, שהם מודעים לכך</w:t>
      </w:r>
      <w:r w:rsidR="00C9182A">
        <w:rPr>
          <w:rFonts w:ascii="FrankRuehl" w:hAnsi="FrankRuehl" w:cs="FrankRuehl" w:hint="cs"/>
          <w:noProof w:val="0"/>
          <w:sz w:val="26"/>
          <w:szCs w:val="26"/>
          <w:rtl/>
        </w:rPr>
        <w:t>,</w:t>
      </w:r>
      <w:r w:rsidR="00111F51">
        <w:rPr>
          <w:rFonts w:ascii="FrankRuehl" w:hAnsi="FrankRuehl" w:cs="FrankRuehl" w:hint="cs"/>
          <w:noProof w:val="0"/>
          <w:sz w:val="26"/>
          <w:szCs w:val="26"/>
          <w:rtl/>
        </w:rPr>
        <w:t xml:space="preserve"> שסעיף 1.4 אינו מחייב</w:t>
      </w:r>
      <w:r w:rsidR="00AF121B">
        <w:rPr>
          <w:rFonts w:ascii="FrankRuehl" w:hAnsi="FrankRuehl" w:cs="FrankRuehl" w:hint="cs"/>
          <w:noProof w:val="0"/>
          <w:sz w:val="26"/>
          <w:szCs w:val="26"/>
          <w:rtl/>
        </w:rPr>
        <w:t xml:space="preserve"> /</w:t>
      </w:r>
      <w:r w:rsidR="00111F51">
        <w:rPr>
          <w:rFonts w:ascii="FrankRuehl" w:hAnsi="FrankRuehl" w:cs="FrankRuehl" w:hint="cs"/>
          <w:noProof w:val="0"/>
          <w:sz w:val="26"/>
          <w:szCs w:val="26"/>
          <w:rtl/>
        </w:rPr>
        <w:t xml:space="preserve"> בר אכיפה</w:t>
      </w:r>
      <w:r w:rsidR="00C9182A">
        <w:rPr>
          <w:rFonts w:ascii="FrankRuehl" w:hAnsi="FrankRuehl" w:cs="FrankRuehl" w:hint="cs"/>
          <w:noProof w:val="0"/>
          <w:sz w:val="26"/>
          <w:szCs w:val="26"/>
          <w:rtl/>
        </w:rPr>
        <w:t>,</w:t>
      </w:r>
      <w:r w:rsidR="00111F51">
        <w:rPr>
          <w:rFonts w:ascii="FrankRuehl" w:hAnsi="FrankRuehl" w:cs="FrankRuehl" w:hint="cs"/>
          <w:noProof w:val="0"/>
          <w:sz w:val="26"/>
          <w:szCs w:val="26"/>
          <w:rtl/>
        </w:rPr>
        <w:t xml:space="preserve"> מבחינה משפטית (</w:t>
      </w:r>
      <w:r w:rsidR="00111F51">
        <w:rPr>
          <w:rFonts w:ascii="FrankRuehl" w:hAnsi="FrankRuehl" w:cs="FrankRuehl"/>
          <w:noProof w:val="0"/>
          <w:sz w:val="26"/>
          <w:szCs w:val="26"/>
        </w:rPr>
        <w:t>"</w:t>
      </w:r>
      <w:r w:rsidR="00111F51" w:rsidRPr="00111F51">
        <w:rPr>
          <w:rFonts w:ascii="FrankRuehl" w:hAnsi="FrankRuehl" w:cs="FrankRuehl"/>
          <w:b/>
          <w:bCs/>
          <w:noProof w:val="0"/>
        </w:rPr>
        <w:t>non-legally binding</w:t>
      </w:r>
      <w:r w:rsidR="00111F51">
        <w:rPr>
          <w:rFonts w:ascii="FrankRuehl" w:hAnsi="FrankRuehl" w:cs="FrankRuehl"/>
          <w:noProof w:val="0"/>
          <w:sz w:val="26"/>
          <w:szCs w:val="26"/>
        </w:rPr>
        <w:t>"</w:t>
      </w:r>
      <w:r w:rsidR="00111F51">
        <w:rPr>
          <w:rFonts w:ascii="FrankRuehl" w:hAnsi="FrankRuehl" w:cs="FrankRuehl" w:hint="cs"/>
          <w:noProof w:val="0"/>
          <w:sz w:val="26"/>
          <w:szCs w:val="26"/>
          <w:rtl/>
        </w:rPr>
        <w:t>). בכך שרטטו הצדדים קו ברור</w:t>
      </w:r>
      <w:r w:rsidR="00C9182A">
        <w:rPr>
          <w:rFonts w:ascii="FrankRuehl" w:hAnsi="FrankRuehl" w:cs="FrankRuehl" w:hint="cs"/>
          <w:noProof w:val="0"/>
          <w:sz w:val="26"/>
          <w:szCs w:val="26"/>
          <w:rtl/>
        </w:rPr>
        <w:t>,</w:t>
      </w:r>
      <w:r w:rsidR="00111F51">
        <w:rPr>
          <w:rFonts w:ascii="FrankRuehl" w:hAnsi="FrankRuehl" w:cs="FrankRuehl" w:hint="cs"/>
          <w:noProof w:val="0"/>
          <w:sz w:val="26"/>
          <w:szCs w:val="26"/>
          <w:rtl/>
        </w:rPr>
        <w:t xml:space="preserve"> בין החלקים המחייבים ובני האכיפה שבהסכם</w:t>
      </w:r>
      <w:r w:rsidR="00C9182A">
        <w:rPr>
          <w:rFonts w:ascii="FrankRuehl" w:hAnsi="FrankRuehl" w:cs="FrankRuehl" w:hint="cs"/>
          <w:noProof w:val="0"/>
          <w:sz w:val="26"/>
          <w:szCs w:val="26"/>
          <w:rtl/>
        </w:rPr>
        <w:t>,</w:t>
      </w:r>
      <w:r w:rsidR="00111F51">
        <w:rPr>
          <w:rFonts w:ascii="FrankRuehl" w:hAnsi="FrankRuehl" w:cs="FrankRuehl" w:hint="cs"/>
          <w:noProof w:val="0"/>
          <w:sz w:val="26"/>
          <w:szCs w:val="26"/>
          <w:rtl/>
        </w:rPr>
        <w:t xml:space="preserve"> לבין סעיף 1.4. יתירה מזו, ההדגשה</w:t>
      </w:r>
      <w:r w:rsidR="00C9182A">
        <w:rPr>
          <w:rFonts w:ascii="FrankRuehl" w:hAnsi="FrankRuehl" w:cs="FrankRuehl" w:hint="cs"/>
          <w:noProof w:val="0"/>
          <w:sz w:val="26"/>
          <w:szCs w:val="26"/>
          <w:rtl/>
        </w:rPr>
        <w:t>,</w:t>
      </w:r>
      <w:r w:rsidR="00111F51">
        <w:rPr>
          <w:rFonts w:ascii="FrankRuehl" w:hAnsi="FrankRuehl" w:cs="FrankRuehl" w:hint="cs"/>
          <w:noProof w:val="0"/>
          <w:sz w:val="26"/>
          <w:szCs w:val="26"/>
          <w:rtl/>
        </w:rPr>
        <w:t xml:space="preserve"> שסעיף 1.4 אינו מחייב משפטית</w:t>
      </w:r>
      <w:r w:rsidR="00C9182A">
        <w:rPr>
          <w:rFonts w:ascii="FrankRuehl" w:hAnsi="FrankRuehl" w:cs="FrankRuehl" w:hint="cs"/>
          <w:noProof w:val="0"/>
          <w:sz w:val="26"/>
          <w:szCs w:val="26"/>
          <w:rtl/>
        </w:rPr>
        <w:t>,</w:t>
      </w:r>
      <w:r w:rsidR="00111F51">
        <w:rPr>
          <w:rFonts w:ascii="FrankRuehl" w:hAnsi="FrankRuehl" w:cs="FrankRuehl" w:hint="cs"/>
          <w:noProof w:val="0"/>
          <w:sz w:val="26"/>
          <w:szCs w:val="26"/>
          <w:rtl/>
        </w:rPr>
        <w:t xml:space="preserve"> מעידה דווקא על תשומת לב</w:t>
      </w:r>
      <w:r w:rsidR="00C9182A">
        <w:rPr>
          <w:rFonts w:ascii="FrankRuehl" w:hAnsi="FrankRuehl" w:cs="FrankRuehl" w:hint="cs"/>
          <w:noProof w:val="0"/>
          <w:sz w:val="26"/>
          <w:szCs w:val="26"/>
          <w:rtl/>
        </w:rPr>
        <w:t>,</w:t>
      </w:r>
      <w:r w:rsidR="00111F51">
        <w:rPr>
          <w:rFonts w:ascii="FrankRuehl" w:hAnsi="FrankRuehl" w:cs="FrankRuehl" w:hint="cs"/>
          <w:noProof w:val="0"/>
          <w:sz w:val="26"/>
          <w:szCs w:val="26"/>
          <w:rtl/>
        </w:rPr>
        <w:t xml:space="preserve"> שהוקדשה לתוכן ההסכם, </w:t>
      </w:r>
      <w:r w:rsidR="00C9182A">
        <w:rPr>
          <w:rFonts w:ascii="FrankRuehl" w:hAnsi="FrankRuehl" w:cs="FrankRuehl" w:hint="cs"/>
          <w:noProof w:val="0"/>
          <w:sz w:val="26"/>
          <w:szCs w:val="26"/>
          <w:rtl/>
        </w:rPr>
        <w:t xml:space="preserve">בניגוד לטענת הנתבעת. </w:t>
      </w:r>
      <w:r w:rsidR="00C9182A" w:rsidRPr="00C9182A">
        <w:rPr>
          <w:rFonts w:ascii="FrankRuehl" w:hAnsi="FrankRuehl" w:cs="FrankRuehl" w:hint="cs"/>
          <w:b/>
          <w:bCs/>
          <w:noProof w:val="0"/>
          <w:sz w:val="26"/>
          <w:szCs w:val="26"/>
          <w:rtl/>
        </w:rPr>
        <w:t>שנית</w:t>
      </w:r>
      <w:r w:rsidR="00C9182A">
        <w:rPr>
          <w:rFonts w:ascii="FrankRuehl" w:hAnsi="FrankRuehl" w:cs="FrankRuehl" w:hint="cs"/>
          <w:noProof w:val="0"/>
          <w:sz w:val="26"/>
          <w:szCs w:val="26"/>
          <w:rtl/>
        </w:rPr>
        <w:t xml:space="preserve">, </w:t>
      </w:r>
      <w:r w:rsidR="005C6396">
        <w:rPr>
          <w:rFonts w:ascii="FrankRuehl" w:hAnsi="FrankRuehl" w:cs="FrankRuehl" w:hint="cs"/>
          <w:noProof w:val="0"/>
          <w:sz w:val="26"/>
          <w:szCs w:val="26"/>
          <w:rtl/>
        </w:rPr>
        <w:t xml:space="preserve">בסעיף 3 סיפא להסכם </w:t>
      </w:r>
      <w:r w:rsidR="006559D8">
        <w:rPr>
          <w:rFonts w:ascii="FrankRuehl" w:hAnsi="FrankRuehl" w:cs="FrankRuehl" w:hint="cs"/>
          <w:noProof w:val="0"/>
          <w:sz w:val="26"/>
          <w:szCs w:val="26"/>
          <w:rtl/>
        </w:rPr>
        <w:t xml:space="preserve">הותנה מפורשות, שבטלות איזו מהוראות ההסכם לא תפגע בתוקפן של הוראות אחרות. </w:t>
      </w:r>
      <w:r w:rsidR="006559D8" w:rsidRPr="006559D8">
        <w:rPr>
          <w:rFonts w:ascii="FrankRuehl" w:hAnsi="FrankRuehl" w:cs="FrankRuehl" w:hint="cs"/>
          <w:b/>
          <w:bCs/>
          <w:noProof w:val="0"/>
          <w:sz w:val="26"/>
          <w:szCs w:val="26"/>
          <w:rtl/>
        </w:rPr>
        <w:t>שלישית</w:t>
      </w:r>
      <w:r w:rsidR="006559D8">
        <w:rPr>
          <w:rFonts w:ascii="FrankRuehl" w:hAnsi="FrankRuehl" w:cs="FrankRuehl" w:hint="cs"/>
          <w:noProof w:val="0"/>
          <w:sz w:val="26"/>
          <w:szCs w:val="26"/>
          <w:rtl/>
        </w:rPr>
        <w:t xml:space="preserve">, </w:t>
      </w:r>
      <w:r w:rsidR="00C9182A">
        <w:rPr>
          <w:rFonts w:ascii="FrankRuehl" w:hAnsi="FrankRuehl" w:cs="FrankRuehl" w:hint="cs"/>
          <w:noProof w:val="0"/>
          <w:sz w:val="26"/>
          <w:szCs w:val="26"/>
          <w:rtl/>
        </w:rPr>
        <w:t>הצהרות ההתחייבות</w:t>
      </w:r>
      <w:r w:rsidR="00CD5489">
        <w:rPr>
          <w:rFonts w:ascii="FrankRuehl" w:hAnsi="FrankRuehl" w:cs="FrankRuehl" w:hint="cs"/>
          <w:noProof w:val="0"/>
          <w:sz w:val="26"/>
          <w:szCs w:val="26"/>
          <w:rtl/>
        </w:rPr>
        <w:t>, שלפי עדות הנתבעת אינן היחידות מסוגן (עמ' 209 שו' 11), מצביעות, שה</w:t>
      </w:r>
      <w:r w:rsidR="00A97E0E">
        <w:rPr>
          <w:rFonts w:ascii="FrankRuehl" w:hAnsi="FrankRuehl" w:cs="FrankRuehl" w:hint="cs"/>
          <w:noProof w:val="0"/>
          <w:sz w:val="26"/>
          <w:szCs w:val="26"/>
          <w:rtl/>
        </w:rPr>
        <w:t>סכמים והתחייבויות בכתב לא היו זרים ל</w:t>
      </w:r>
      <w:r w:rsidR="00CD5489">
        <w:rPr>
          <w:rFonts w:ascii="FrankRuehl" w:hAnsi="FrankRuehl" w:cs="FrankRuehl" w:hint="cs"/>
          <w:noProof w:val="0"/>
          <w:sz w:val="26"/>
          <w:szCs w:val="26"/>
          <w:rtl/>
        </w:rPr>
        <w:t>צדדים, גם במסגרת יחסיהם האישיים</w:t>
      </w:r>
      <w:r w:rsidR="00A97E0E">
        <w:rPr>
          <w:rFonts w:ascii="FrankRuehl" w:hAnsi="FrankRuehl" w:cs="FrankRuehl" w:hint="cs"/>
          <w:noProof w:val="0"/>
          <w:sz w:val="26"/>
          <w:szCs w:val="26"/>
          <w:rtl/>
        </w:rPr>
        <w:t>. לפיכך, סעיף 1.4 להסכם</w:t>
      </w:r>
      <w:r w:rsidR="00CD5489">
        <w:rPr>
          <w:rFonts w:ascii="FrankRuehl" w:hAnsi="FrankRuehl" w:cs="FrankRuehl" w:hint="cs"/>
          <w:noProof w:val="0"/>
          <w:sz w:val="26"/>
          <w:szCs w:val="26"/>
          <w:rtl/>
        </w:rPr>
        <w:t xml:space="preserve"> </w:t>
      </w:r>
      <w:r w:rsidR="00A97E0E">
        <w:rPr>
          <w:rFonts w:ascii="FrankRuehl" w:hAnsi="FrankRuehl" w:cs="FrankRuehl" w:hint="cs"/>
          <w:noProof w:val="0"/>
          <w:sz w:val="26"/>
          <w:szCs w:val="26"/>
          <w:rtl/>
        </w:rPr>
        <w:t>עולה בקנה אחד עם נוהגם של הצדדים להעלות גם נושאים אישיים על הכתב</w:t>
      </w:r>
      <w:r w:rsidR="009E7CF4">
        <w:rPr>
          <w:rFonts w:ascii="FrankRuehl" w:hAnsi="FrankRuehl" w:cs="FrankRuehl" w:hint="cs"/>
          <w:noProof w:val="0"/>
          <w:sz w:val="26"/>
          <w:szCs w:val="26"/>
          <w:rtl/>
        </w:rPr>
        <w:t xml:space="preserve">. </w:t>
      </w:r>
      <w:r w:rsidR="006559D8">
        <w:rPr>
          <w:rFonts w:ascii="FrankRuehl" w:hAnsi="FrankRuehl" w:cs="FrankRuehl" w:hint="cs"/>
          <w:b/>
          <w:bCs/>
          <w:noProof w:val="0"/>
          <w:sz w:val="26"/>
          <w:szCs w:val="26"/>
          <w:rtl/>
        </w:rPr>
        <w:t>רביעית</w:t>
      </w:r>
      <w:r w:rsidR="009E7CF4">
        <w:rPr>
          <w:rFonts w:ascii="FrankRuehl" w:hAnsi="FrankRuehl" w:cs="FrankRuehl" w:hint="cs"/>
          <w:noProof w:val="0"/>
          <w:sz w:val="26"/>
          <w:szCs w:val="26"/>
          <w:rtl/>
        </w:rPr>
        <w:t>, בשונה מהצהרות ההתחייבות, שעסקו בנושאים נקודתיים, ואף שוליים, ההסכם, על פי תוכנו ועל פי ה</w:t>
      </w:r>
      <w:r w:rsidR="007B585B">
        <w:rPr>
          <w:rFonts w:ascii="FrankRuehl" w:hAnsi="FrankRuehl" w:cs="FrankRuehl" w:hint="cs"/>
          <w:noProof w:val="0"/>
          <w:sz w:val="26"/>
          <w:szCs w:val="26"/>
          <w:rtl/>
        </w:rPr>
        <w:t>מוצהר בו</w:t>
      </w:r>
      <w:r w:rsidR="009E7CF4">
        <w:rPr>
          <w:rFonts w:ascii="FrankRuehl" w:hAnsi="FrankRuehl" w:cs="FrankRuehl" w:hint="cs"/>
          <w:noProof w:val="0"/>
          <w:sz w:val="26"/>
          <w:szCs w:val="26"/>
          <w:rtl/>
        </w:rPr>
        <w:t>, מקיף את כל הנושאים הרלוונטיים להתנהלות רכושית ופר</w:t>
      </w:r>
      <w:r w:rsidR="007B585B">
        <w:rPr>
          <w:rFonts w:ascii="FrankRuehl" w:hAnsi="FrankRuehl" w:cs="FrankRuehl" w:hint="cs"/>
          <w:noProof w:val="0"/>
          <w:sz w:val="26"/>
          <w:szCs w:val="26"/>
          <w:rtl/>
        </w:rPr>
        <w:t>י</w:t>
      </w:r>
      <w:r w:rsidR="009E7CF4">
        <w:rPr>
          <w:rFonts w:ascii="FrankRuehl" w:hAnsi="FrankRuehl" w:cs="FrankRuehl" w:hint="cs"/>
          <w:noProof w:val="0"/>
          <w:sz w:val="26"/>
          <w:szCs w:val="26"/>
          <w:rtl/>
        </w:rPr>
        <w:t>דה. עוד בשונה מהצהרות ההתחייבות, ה</w:t>
      </w:r>
      <w:r w:rsidR="007B585B">
        <w:rPr>
          <w:rFonts w:ascii="FrankRuehl" w:hAnsi="FrankRuehl" w:cs="FrankRuehl" w:hint="cs"/>
          <w:noProof w:val="0"/>
          <w:sz w:val="26"/>
          <w:szCs w:val="26"/>
          <w:rtl/>
        </w:rPr>
        <w:t xml:space="preserve">צדדים טרחו להוסיף לצד שמם המלא את </w:t>
      </w:r>
      <w:r w:rsidR="009E7CF4">
        <w:rPr>
          <w:rFonts w:ascii="FrankRuehl" w:hAnsi="FrankRuehl" w:cs="FrankRuehl" w:hint="cs"/>
          <w:noProof w:val="0"/>
          <w:sz w:val="26"/>
          <w:szCs w:val="26"/>
          <w:rtl/>
        </w:rPr>
        <w:t xml:space="preserve">מספרי הדרכון שלהם. </w:t>
      </w:r>
      <w:r w:rsidR="007B585B">
        <w:rPr>
          <w:rFonts w:ascii="FrankRuehl" w:hAnsi="FrankRuehl" w:cs="FrankRuehl" w:hint="cs"/>
          <w:noProof w:val="0"/>
          <w:sz w:val="26"/>
          <w:szCs w:val="26"/>
          <w:rtl/>
        </w:rPr>
        <w:t xml:space="preserve">מדובר בעדות של ממש </w:t>
      </w:r>
      <w:r w:rsidR="009E7CF4">
        <w:rPr>
          <w:rFonts w:ascii="FrankRuehl" w:hAnsi="FrankRuehl" w:cs="FrankRuehl" w:hint="cs"/>
          <w:noProof w:val="0"/>
          <w:sz w:val="26"/>
          <w:szCs w:val="26"/>
          <w:rtl/>
        </w:rPr>
        <w:t>לכך, שהצדדים ראו בהסכם מסמך משפטי מחייב</w:t>
      </w:r>
      <w:r w:rsidR="00123210">
        <w:rPr>
          <w:rFonts w:ascii="FrankRuehl" w:hAnsi="FrankRuehl" w:cs="FrankRuehl" w:hint="cs"/>
          <w:noProof w:val="0"/>
          <w:sz w:val="26"/>
          <w:szCs w:val="26"/>
          <w:rtl/>
        </w:rPr>
        <w:t>, למרות סעיף 1.4 הכלול בו</w:t>
      </w:r>
      <w:r w:rsidR="009E7CF4">
        <w:rPr>
          <w:rFonts w:ascii="FrankRuehl" w:hAnsi="FrankRuehl" w:cs="FrankRuehl" w:hint="cs"/>
          <w:noProof w:val="0"/>
          <w:sz w:val="26"/>
          <w:szCs w:val="26"/>
          <w:rtl/>
        </w:rPr>
        <w:t>.</w:t>
      </w:r>
    </w:p>
    <w:p w:rsidR="00C36420" w:rsidRDefault="007B585B" w:rsidP="001042C2">
      <w:pPr>
        <w:pStyle w:val="ad"/>
        <w:numPr>
          <w:ilvl w:val="0"/>
          <w:numId w:val="1"/>
        </w:numPr>
        <w:spacing w:after="240" w:line="360" w:lineRule="auto"/>
        <w:contextualSpacing w:val="0"/>
        <w:jc w:val="both"/>
        <w:rPr>
          <w:rFonts w:ascii="FrankRuehl" w:hAnsi="FrankRuehl" w:cs="FrankRuehl"/>
          <w:noProof w:val="0"/>
          <w:sz w:val="26"/>
          <w:szCs w:val="26"/>
        </w:rPr>
      </w:pPr>
      <w:r w:rsidRPr="00F9297D">
        <w:rPr>
          <w:rFonts w:ascii="FrankRuehl" w:hAnsi="FrankRuehl" w:cs="FrankRuehl" w:hint="cs"/>
          <w:noProof w:val="0"/>
          <w:sz w:val="26"/>
          <w:szCs w:val="26"/>
          <w:rtl/>
        </w:rPr>
        <w:t>טענת הנתבעת</w:t>
      </w:r>
      <w:r w:rsidR="00CD2883">
        <w:rPr>
          <w:rFonts w:ascii="FrankRuehl" w:hAnsi="FrankRuehl" w:cs="FrankRuehl" w:hint="cs"/>
          <w:noProof w:val="0"/>
          <w:sz w:val="26"/>
          <w:szCs w:val="26"/>
          <w:rtl/>
        </w:rPr>
        <w:t>, לפיה</w:t>
      </w:r>
      <w:r w:rsidRPr="00F9297D">
        <w:rPr>
          <w:rFonts w:ascii="FrankRuehl" w:hAnsi="FrankRuehl" w:cs="FrankRuehl" w:hint="cs"/>
          <w:noProof w:val="0"/>
          <w:sz w:val="26"/>
          <w:szCs w:val="26"/>
          <w:rtl/>
        </w:rPr>
        <w:t xml:space="preserve"> היא ראתה את ההסכם לראשונה סמוך לחתימתו, </w:t>
      </w:r>
      <w:r w:rsidR="00641CFC" w:rsidRPr="00F9297D">
        <w:rPr>
          <w:rFonts w:ascii="FrankRuehl" w:hAnsi="FrankRuehl" w:cs="FrankRuehl" w:hint="cs"/>
          <w:noProof w:val="0"/>
          <w:sz w:val="26"/>
          <w:szCs w:val="26"/>
          <w:rtl/>
        </w:rPr>
        <w:t>נסתרה בעמ' 234 לנספחי תצהיר התובע</w:t>
      </w:r>
      <w:r w:rsidR="00CD2883">
        <w:rPr>
          <w:rFonts w:ascii="FrankRuehl" w:hAnsi="FrankRuehl" w:cs="FrankRuehl" w:hint="cs"/>
          <w:noProof w:val="0"/>
          <w:sz w:val="26"/>
          <w:szCs w:val="26"/>
          <w:rtl/>
        </w:rPr>
        <w:t>. מדובר ב</w:t>
      </w:r>
      <w:r w:rsidR="00641CFC" w:rsidRPr="00F9297D">
        <w:rPr>
          <w:rFonts w:ascii="FrankRuehl" w:hAnsi="FrankRuehl" w:cs="FrankRuehl" w:hint="cs"/>
          <w:noProof w:val="0"/>
          <w:sz w:val="26"/>
          <w:szCs w:val="26"/>
          <w:rtl/>
        </w:rPr>
        <w:t>הודעת דוא"ל</w:t>
      </w:r>
      <w:r w:rsidR="00CD2883">
        <w:rPr>
          <w:rFonts w:ascii="FrankRuehl" w:hAnsi="FrankRuehl" w:cs="FrankRuehl" w:hint="cs"/>
          <w:noProof w:val="0"/>
          <w:sz w:val="26"/>
          <w:szCs w:val="26"/>
          <w:rtl/>
        </w:rPr>
        <w:t>,</w:t>
      </w:r>
      <w:r w:rsidR="00641CFC" w:rsidRPr="00F9297D">
        <w:rPr>
          <w:rFonts w:ascii="FrankRuehl" w:hAnsi="FrankRuehl" w:cs="FrankRuehl" w:hint="cs"/>
          <w:noProof w:val="0"/>
          <w:sz w:val="26"/>
          <w:szCs w:val="26"/>
          <w:rtl/>
        </w:rPr>
        <w:t xml:space="preserve"> ששגרה הנתבעת לתובע</w:t>
      </w:r>
      <w:r w:rsidR="00CD2883">
        <w:rPr>
          <w:rFonts w:ascii="FrankRuehl" w:hAnsi="FrankRuehl" w:cs="FrankRuehl" w:hint="cs"/>
          <w:noProof w:val="0"/>
          <w:sz w:val="26"/>
          <w:szCs w:val="26"/>
          <w:rtl/>
        </w:rPr>
        <w:t>,</w:t>
      </w:r>
      <w:r w:rsidR="00641CFC" w:rsidRPr="00F9297D">
        <w:rPr>
          <w:rFonts w:ascii="FrankRuehl" w:hAnsi="FrankRuehl" w:cs="FrankRuehl" w:hint="cs"/>
          <w:noProof w:val="0"/>
          <w:sz w:val="26"/>
          <w:szCs w:val="26"/>
          <w:rtl/>
        </w:rPr>
        <w:t xml:space="preserve"> כחודש לפני חתימת ההסכם (ביום 6.2.2015)</w:t>
      </w:r>
      <w:r w:rsidR="00936D0A" w:rsidRPr="00F9297D">
        <w:rPr>
          <w:rFonts w:ascii="FrankRuehl" w:hAnsi="FrankRuehl" w:cs="FrankRuehl" w:hint="cs"/>
          <w:noProof w:val="0"/>
          <w:sz w:val="26"/>
          <w:szCs w:val="26"/>
          <w:rtl/>
        </w:rPr>
        <w:t xml:space="preserve">. בהודעה זו נכתב </w:t>
      </w:r>
      <w:r w:rsidR="00B132F0" w:rsidRPr="00F9297D">
        <w:rPr>
          <w:rFonts w:ascii="FrankRuehl" w:hAnsi="FrankRuehl" w:cs="FrankRuehl"/>
          <w:noProof w:val="0"/>
          <w:sz w:val="26"/>
          <w:szCs w:val="26"/>
        </w:rPr>
        <w:t>"</w:t>
      </w:r>
      <w:r w:rsidR="00B132F0" w:rsidRPr="00F9297D">
        <w:rPr>
          <w:rFonts w:ascii="FrankRuehl" w:hAnsi="FrankRuehl" w:cs="FrankRuehl"/>
          <w:b/>
          <w:bCs/>
          <w:noProof w:val="0"/>
        </w:rPr>
        <w:t>Add severability clause</w:t>
      </w:r>
      <w:r w:rsidR="00B132F0" w:rsidRPr="00F9297D">
        <w:rPr>
          <w:rFonts w:ascii="FrankRuehl" w:hAnsi="FrankRuehl" w:cs="FrankRuehl"/>
          <w:noProof w:val="0"/>
          <w:sz w:val="26"/>
          <w:szCs w:val="26"/>
        </w:rPr>
        <w:t>"</w:t>
      </w:r>
      <w:r w:rsidR="00B132F0" w:rsidRPr="00F9297D">
        <w:rPr>
          <w:rFonts w:ascii="FrankRuehl" w:hAnsi="FrankRuehl" w:cs="FrankRuehl" w:hint="cs"/>
          <w:noProof w:val="0"/>
          <w:sz w:val="26"/>
          <w:szCs w:val="26"/>
          <w:rtl/>
        </w:rPr>
        <w:t xml:space="preserve"> (הו</w:t>
      </w:r>
      <w:r w:rsidR="00936D0A" w:rsidRPr="00F9297D">
        <w:rPr>
          <w:rFonts w:ascii="FrankRuehl" w:hAnsi="FrankRuehl" w:cs="FrankRuehl" w:hint="cs"/>
          <w:noProof w:val="0"/>
          <w:sz w:val="26"/>
          <w:szCs w:val="26"/>
          <w:rtl/>
        </w:rPr>
        <w:t>סף ס</w:t>
      </w:r>
      <w:r w:rsidR="00B132F0" w:rsidRPr="00F9297D">
        <w:rPr>
          <w:rFonts w:ascii="FrankRuehl" w:hAnsi="FrankRuehl" w:cs="FrankRuehl" w:hint="cs"/>
          <w:noProof w:val="0"/>
          <w:sz w:val="26"/>
          <w:szCs w:val="26"/>
          <w:rtl/>
        </w:rPr>
        <w:t xml:space="preserve">עיף הפרדה/הבחנה). </w:t>
      </w:r>
      <w:r w:rsidR="00B94950">
        <w:rPr>
          <w:rFonts w:ascii="FrankRuehl" w:hAnsi="FrankRuehl" w:cs="FrankRuehl" w:hint="cs"/>
          <w:noProof w:val="0"/>
          <w:sz w:val="26"/>
          <w:szCs w:val="26"/>
          <w:rtl/>
        </w:rPr>
        <w:t xml:space="preserve">מהנספח האמור עולה, שמדובר בהודעת דוא"ל שהנתבעת שלחה לתובע, והיא הודתה בכך </w:t>
      </w:r>
      <w:r w:rsidR="00B132F0" w:rsidRPr="00F9297D">
        <w:rPr>
          <w:rFonts w:ascii="FrankRuehl" w:hAnsi="FrankRuehl" w:cs="FrankRuehl" w:hint="cs"/>
          <w:noProof w:val="0"/>
          <w:sz w:val="26"/>
          <w:szCs w:val="26"/>
          <w:rtl/>
        </w:rPr>
        <w:t>בעדותה (עמ' 197-198)</w:t>
      </w:r>
      <w:r w:rsidR="00B94950">
        <w:rPr>
          <w:rFonts w:ascii="FrankRuehl" w:hAnsi="FrankRuehl" w:cs="FrankRuehl" w:hint="cs"/>
          <w:noProof w:val="0"/>
          <w:sz w:val="26"/>
          <w:szCs w:val="26"/>
          <w:rtl/>
        </w:rPr>
        <w:t>. לטענת הנתבעת,</w:t>
      </w:r>
      <w:r w:rsidR="00B132F0" w:rsidRPr="00F9297D">
        <w:rPr>
          <w:rFonts w:ascii="FrankRuehl" w:hAnsi="FrankRuehl" w:cs="FrankRuehl" w:hint="cs"/>
          <w:noProof w:val="0"/>
          <w:sz w:val="26"/>
          <w:szCs w:val="26"/>
          <w:rtl/>
        </w:rPr>
        <w:t xml:space="preserve"> ה</w:t>
      </w:r>
      <w:r w:rsidR="00B25AA8" w:rsidRPr="00F9297D">
        <w:rPr>
          <w:rFonts w:ascii="FrankRuehl" w:hAnsi="FrankRuehl" w:cs="FrankRuehl" w:hint="cs"/>
          <w:noProof w:val="0"/>
          <w:sz w:val="26"/>
          <w:szCs w:val="26"/>
          <w:rtl/>
        </w:rPr>
        <w:t>הודעה</w:t>
      </w:r>
      <w:r w:rsidR="00B132F0" w:rsidRPr="00F9297D">
        <w:rPr>
          <w:rFonts w:ascii="FrankRuehl" w:hAnsi="FrankRuehl" w:cs="FrankRuehl" w:hint="cs"/>
          <w:noProof w:val="0"/>
          <w:sz w:val="26"/>
          <w:szCs w:val="26"/>
          <w:rtl/>
        </w:rPr>
        <w:t xml:space="preserve"> הוצאה מהקשרה</w:t>
      </w:r>
      <w:r w:rsidR="00B94950">
        <w:rPr>
          <w:rFonts w:ascii="FrankRuehl" w:hAnsi="FrankRuehl" w:cs="FrankRuehl" w:hint="cs"/>
          <w:noProof w:val="0"/>
          <w:sz w:val="26"/>
          <w:szCs w:val="26"/>
          <w:rtl/>
        </w:rPr>
        <w:t xml:space="preserve"> (שם)</w:t>
      </w:r>
      <w:r w:rsidR="00B132F0" w:rsidRPr="00F9297D">
        <w:rPr>
          <w:rFonts w:ascii="FrankRuehl" w:hAnsi="FrankRuehl" w:cs="FrankRuehl" w:hint="cs"/>
          <w:noProof w:val="0"/>
          <w:sz w:val="26"/>
          <w:szCs w:val="26"/>
          <w:rtl/>
        </w:rPr>
        <w:t xml:space="preserve">. </w:t>
      </w:r>
      <w:r w:rsidR="00233489">
        <w:rPr>
          <w:rFonts w:ascii="FrankRuehl" w:hAnsi="FrankRuehl" w:cs="FrankRuehl"/>
          <w:noProof w:val="0"/>
          <w:sz w:val="26"/>
          <w:szCs w:val="26"/>
          <w:rtl/>
        </w:rPr>
        <w:tab/>
      </w:r>
      <w:r w:rsidR="00233489">
        <w:rPr>
          <w:rFonts w:ascii="FrankRuehl" w:hAnsi="FrankRuehl" w:cs="FrankRuehl"/>
          <w:noProof w:val="0"/>
          <w:sz w:val="26"/>
          <w:szCs w:val="26"/>
          <w:rtl/>
        </w:rPr>
        <w:br/>
      </w:r>
      <w:r w:rsidR="00B132F0" w:rsidRPr="00F9297D">
        <w:rPr>
          <w:rFonts w:ascii="FrankRuehl" w:hAnsi="FrankRuehl" w:cs="FrankRuehl" w:hint="cs"/>
          <w:noProof w:val="0"/>
          <w:sz w:val="26"/>
          <w:szCs w:val="26"/>
          <w:rtl/>
        </w:rPr>
        <w:lastRenderedPageBreak/>
        <w:t>עם זאת, הנתבעת לא ידעה לציין</w:t>
      </w:r>
      <w:r w:rsidR="001042C2">
        <w:rPr>
          <w:rFonts w:ascii="FrankRuehl" w:hAnsi="FrankRuehl" w:cs="FrankRuehl" w:hint="cs"/>
          <w:noProof w:val="0"/>
          <w:sz w:val="26"/>
          <w:szCs w:val="26"/>
          <w:rtl/>
        </w:rPr>
        <w:t>,</w:t>
      </w:r>
      <w:r w:rsidR="00B132F0" w:rsidRPr="00F9297D">
        <w:rPr>
          <w:rFonts w:ascii="FrankRuehl" w:hAnsi="FrankRuehl" w:cs="FrankRuehl" w:hint="cs"/>
          <w:noProof w:val="0"/>
          <w:sz w:val="26"/>
          <w:szCs w:val="26"/>
          <w:rtl/>
        </w:rPr>
        <w:t xml:space="preserve"> מה הוא ההקשר הנכון</w:t>
      </w:r>
      <w:r w:rsidR="00CD2883">
        <w:rPr>
          <w:rFonts w:ascii="FrankRuehl" w:hAnsi="FrankRuehl" w:cs="FrankRuehl" w:hint="cs"/>
          <w:noProof w:val="0"/>
          <w:sz w:val="26"/>
          <w:szCs w:val="26"/>
          <w:rtl/>
        </w:rPr>
        <w:t xml:space="preserve"> (</w:t>
      </w:r>
      <w:r w:rsidR="00B132F0" w:rsidRPr="00F9297D">
        <w:rPr>
          <w:rFonts w:ascii="FrankRuehl" w:hAnsi="FrankRuehl" w:cs="FrankRuehl" w:hint="cs"/>
          <w:noProof w:val="0"/>
          <w:sz w:val="26"/>
          <w:szCs w:val="26"/>
          <w:rtl/>
        </w:rPr>
        <w:t>לשיטתה</w:t>
      </w:r>
      <w:r w:rsidR="00CD2883">
        <w:rPr>
          <w:rFonts w:ascii="FrankRuehl" w:hAnsi="FrankRuehl" w:cs="FrankRuehl" w:hint="cs"/>
          <w:noProof w:val="0"/>
          <w:sz w:val="26"/>
          <w:szCs w:val="26"/>
          <w:rtl/>
        </w:rPr>
        <w:t>)</w:t>
      </w:r>
      <w:r w:rsidR="00B132F0" w:rsidRPr="00F9297D">
        <w:rPr>
          <w:rFonts w:ascii="FrankRuehl" w:hAnsi="FrankRuehl" w:cs="FrankRuehl" w:hint="cs"/>
          <w:noProof w:val="0"/>
          <w:sz w:val="26"/>
          <w:szCs w:val="26"/>
          <w:rtl/>
        </w:rPr>
        <w:t xml:space="preserve"> של הודעת הדוא"ל ורק העלתה השערה</w:t>
      </w:r>
      <w:r w:rsidR="00CF1D02" w:rsidRPr="00F9297D">
        <w:rPr>
          <w:rFonts w:ascii="FrankRuehl" w:hAnsi="FrankRuehl" w:cs="FrankRuehl" w:hint="cs"/>
          <w:noProof w:val="0"/>
          <w:sz w:val="26"/>
          <w:szCs w:val="26"/>
          <w:rtl/>
        </w:rPr>
        <w:t>, לפיה</w:t>
      </w:r>
      <w:r w:rsidR="00B25AA8" w:rsidRPr="00F9297D">
        <w:rPr>
          <w:rFonts w:ascii="FrankRuehl" w:hAnsi="FrankRuehl" w:cs="FrankRuehl" w:hint="cs"/>
          <w:noProof w:val="0"/>
          <w:sz w:val="26"/>
          <w:szCs w:val="26"/>
          <w:rtl/>
        </w:rPr>
        <w:t>,</w:t>
      </w:r>
      <w:r w:rsidR="00CF1D02" w:rsidRPr="00F9297D">
        <w:rPr>
          <w:rFonts w:ascii="FrankRuehl" w:hAnsi="FrankRuehl" w:cs="FrankRuehl" w:hint="cs"/>
          <w:noProof w:val="0"/>
          <w:sz w:val="26"/>
          <w:szCs w:val="26"/>
          <w:rtl/>
        </w:rPr>
        <w:t xml:space="preserve"> ייתכן </w:t>
      </w:r>
      <w:r w:rsidR="00B25AA8" w:rsidRPr="00F9297D">
        <w:rPr>
          <w:rFonts w:ascii="FrankRuehl" w:hAnsi="FrankRuehl" w:cs="FrankRuehl" w:hint="cs"/>
          <w:noProof w:val="0"/>
          <w:sz w:val="26"/>
          <w:szCs w:val="26"/>
          <w:rtl/>
        </w:rPr>
        <w:t>ש</w:t>
      </w:r>
      <w:r w:rsidR="00CF1D02" w:rsidRPr="00F9297D">
        <w:rPr>
          <w:rFonts w:ascii="FrankRuehl" w:hAnsi="FrankRuehl" w:cs="FrankRuehl" w:hint="cs"/>
          <w:noProof w:val="0"/>
          <w:sz w:val="26"/>
          <w:szCs w:val="26"/>
          <w:rtl/>
        </w:rPr>
        <w:t>מדובר בהתייחסות להסכמי שמירת סודיות (</w:t>
      </w:r>
      <w:r w:rsidR="00DA3D72">
        <w:rPr>
          <w:rFonts w:ascii="FrankRuehl" w:hAnsi="FrankRuehl" w:cs="FrankRuehl" w:hint="cs"/>
          <w:noProof w:val="0"/>
          <w:sz w:val="26"/>
          <w:szCs w:val="26"/>
          <w:rtl/>
        </w:rPr>
        <w:t xml:space="preserve">להלן: </w:t>
      </w:r>
      <w:r w:rsidR="00DA3D72" w:rsidRPr="00DA3D72">
        <w:rPr>
          <w:rFonts w:asciiTheme="minorBidi" w:hAnsiTheme="minorBidi" w:cstheme="minorBidi"/>
          <w:noProof w:val="0"/>
          <w:rtl/>
        </w:rPr>
        <w:t xml:space="preserve">הסכמי </w:t>
      </w:r>
      <w:r w:rsidR="00CF1D02" w:rsidRPr="00DA3D72">
        <w:rPr>
          <w:rFonts w:asciiTheme="minorBidi" w:hAnsiTheme="minorBidi" w:cstheme="minorBidi"/>
          <w:noProof w:val="0"/>
          <w:sz w:val="20"/>
          <w:szCs w:val="20"/>
        </w:rPr>
        <w:t>NDA</w:t>
      </w:r>
      <w:r w:rsidR="00CF1D02" w:rsidRPr="00F9297D">
        <w:rPr>
          <w:rFonts w:ascii="FrankRuehl" w:hAnsi="FrankRuehl" w:cs="FrankRuehl" w:hint="cs"/>
          <w:noProof w:val="0"/>
          <w:sz w:val="26"/>
          <w:szCs w:val="26"/>
          <w:rtl/>
        </w:rPr>
        <w:t>). אלא שהנתבעת לא הגישה הסכם כלשהו</w:t>
      </w:r>
      <w:r w:rsidR="001042C2">
        <w:rPr>
          <w:rFonts w:ascii="FrankRuehl" w:hAnsi="FrankRuehl" w:cs="FrankRuehl" w:hint="cs"/>
          <w:noProof w:val="0"/>
          <w:sz w:val="26"/>
          <w:szCs w:val="26"/>
          <w:rtl/>
        </w:rPr>
        <w:t>,</w:t>
      </w:r>
      <w:r w:rsidR="00CF1D02" w:rsidRPr="00F9297D">
        <w:rPr>
          <w:rFonts w:ascii="FrankRuehl" w:hAnsi="FrankRuehl" w:cs="FrankRuehl" w:hint="cs"/>
          <w:noProof w:val="0"/>
          <w:sz w:val="26"/>
          <w:szCs w:val="26"/>
          <w:rtl/>
        </w:rPr>
        <w:t xml:space="preserve"> אליו התייחסה</w:t>
      </w:r>
      <w:r w:rsidR="001042C2">
        <w:rPr>
          <w:rFonts w:ascii="FrankRuehl" w:hAnsi="FrankRuehl" w:cs="FrankRuehl" w:hint="cs"/>
          <w:noProof w:val="0"/>
          <w:sz w:val="26"/>
          <w:szCs w:val="26"/>
          <w:rtl/>
        </w:rPr>
        <w:t>,</w:t>
      </w:r>
      <w:r w:rsidR="00CD2883">
        <w:rPr>
          <w:rFonts w:ascii="FrankRuehl" w:hAnsi="FrankRuehl" w:cs="FrankRuehl" w:hint="cs"/>
          <w:noProof w:val="0"/>
          <w:sz w:val="26"/>
          <w:szCs w:val="26"/>
          <w:rtl/>
        </w:rPr>
        <w:t xml:space="preserve"> לכאורה</w:t>
      </w:r>
      <w:r w:rsidR="001042C2">
        <w:rPr>
          <w:rFonts w:ascii="FrankRuehl" w:hAnsi="FrankRuehl" w:cs="FrankRuehl" w:hint="cs"/>
          <w:noProof w:val="0"/>
          <w:sz w:val="26"/>
          <w:szCs w:val="26"/>
          <w:rtl/>
        </w:rPr>
        <w:t>,</w:t>
      </w:r>
      <w:r w:rsidR="00CF1D02" w:rsidRPr="00F9297D">
        <w:rPr>
          <w:rFonts w:ascii="FrankRuehl" w:hAnsi="FrankRuehl" w:cs="FrankRuehl" w:hint="cs"/>
          <w:noProof w:val="0"/>
          <w:sz w:val="26"/>
          <w:szCs w:val="26"/>
          <w:rtl/>
        </w:rPr>
        <w:t xml:space="preserve"> הודעת הדוא"ל הנ"ל. הנתבעת גם לא טרחה</w:t>
      </w:r>
      <w:r w:rsidR="001042C2">
        <w:rPr>
          <w:rFonts w:ascii="FrankRuehl" w:hAnsi="FrankRuehl" w:cs="FrankRuehl" w:hint="cs"/>
          <w:noProof w:val="0"/>
          <w:sz w:val="26"/>
          <w:szCs w:val="26"/>
          <w:rtl/>
        </w:rPr>
        <w:t>,</w:t>
      </w:r>
      <w:r w:rsidR="00CF1D02" w:rsidRPr="00F9297D">
        <w:rPr>
          <w:rFonts w:ascii="FrankRuehl" w:hAnsi="FrankRuehl" w:cs="FrankRuehl" w:hint="cs"/>
          <w:noProof w:val="0"/>
          <w:sz w:val="26"/>
          <w:szCs w:val="26"/>
          <w:rtl/>
        </w:rPr>
        <w:t xml:space="preserve"> להגיש את שרשור התכתובת הרלוונטית, על מנת להוכיח, שהודעת הדוא"ל הנ"ל הוצאה מהקשרה. מאחר</w:t>
      </w:r>
      <w:r w:rsidR="00CD2883">
        <w:rPr>
          <w:rFonts w:ascii="FrankRuehl" w:hAnsi="FrankRuehl" w:cs="FrankRuehl" w:hint="cs"/>
          <w:noProof w:val="0"/>
          <w:sz w:val="26"/>
          <w:szCs w:val="26"/>
          <w:rtl/>
        </w:rPr>
        <w:t>,</w:t>
      </w:r>
      <w:r w:rsidR="00CF1D02" w:rsidRPr="00F9297D">
        <w:rPr>
          <w:rFonts w:ascii="FrankRuehl" w:hAnsi="FrankRuehl" w:cs="FrankRuehl" w:hint="cs"/>
          <w:noProof w:val="0"/>
          <w:sz w:val="26"/>
          <w:szCs w:val="26"/>
          <w:rtl/>
        </w:rPr>
        <w:t xml:space="preserve"> שמדובר בראיות</w:t>
      </w:r>
      <w:r w:rsidR="00CD2883">
        <w:rPr>
          <w:rFonts w:ascii="FrankRuehl" w:hAnsi="FrankRuehl" w:cs="FrankRuehl" w:hint="cs"/>
          <w:noProof w:val="0"/>
          <w:sz w:val="26"/>
          <w:szCs w:val="26"/>
          <w:rtl/>
        </w:rPr>
        <w:t xml:space="preserve"> המצויות </w:t>
      </w:r>
      <w:r w:rsidR="00CF1D02" w:rsidRPr="00F9297D">
        <w:rPr>
          <w:rFonts w:ascii="FrankRuehl" w:hAnsi="FrankRuehl" w:cs="FrankRuehl" w:hint="cs"/>
          <w:noProof w:val="0"/>
          <w:sz w:val="26"/>
          <w:szCs w:val="26"/>
          <w:rtl/>
        </w:rPr>
        <w:t xml:space="preserve">תחת ידיה של הנתבעת, המחדל להגישן פועל </w:t>
      </w:r>
      <w:r w:rsidR="00CD2883">
        <w:rPr>
          <w:rFonts w:ascii="FrankRuehl" w:hAnsi="FrankRuehl" w:cs="FrankRuehl" w:hint="cs"/>
          <w:noProof w:val="0"/>
          <w:sz w:val="26"/>
          <w:szCs w:val="26"/>
          <w:rtl/>
        </w:rPr>
        <w:t xml:space="preserve">כראיה שלילית </w:t>
      </w:r>
      <w:r w:rsidR="00CF1D02" w:rsidRPr="00F9297D">
        <w:rPr>
          <w:rFonts w:ascii="FrankRuehl" w:hAnsi="FrankRuehl" w:cs="FrankRuehl" w:hint="cs"/>
          <w:noProof w:val="0"/>
          <w:sz w:val="26"/>
          <w:szCs w:val="26"/>
          <w:rtl/>
        </w:rPr>
        <w:t xml:space="preserve">לחובתה </w:t>
      </w:r>
      <w:r w:rsidR="0070798D" w:rsidRPr="00F9297D">
        <w:rPr>
          <w:rFonts w:ascii="FrankRuehl" w:hAnsi="FrankRuehl" w:cs="FrankRuehl" w:hint="cs"/>
          <w:noProof w:val="0"/>
          <w:sz w:val="26"/>
          <w:szCs w:val="26"/>
          <w:rtl/>
        </w:rPr>
        <w:t xml:space="preserve">(ר', </w:t>
      </w:r>
      <w:r w:rsidR="00B538C4">
        <w:rPr>
          <w:rFonts w:ascii="FrankRuehl" w:hAnsi="FrankRuehl" w:cs="FrankRuehl" w:hint="cs"/>
          <w:noProof w:val="0"/>
          <w:sz w:val="26"/>
          <w:szCs w:val="26"/>
          <w:rtl/>
        </w:rPr>
        <w:t>לדוגמא</w:t>
      </w:r>
      <w:r w:rsidR="0070798D" w:rsidRPr="00F9297D">
        <w:rPr>
          <w:rFonts w:ascii="FrankRuehl" w:hAnsi="FrankRuehl" w:cs="FrankRuehl" w:hint="cs"/>
          <w:noProof w:val="0"/>
          <w:sz w:val="26"/>
          <w:szCs w:val="26"/>
          <w:rtl/>
        </w:rPr>
        <w:t xml:space="preserve">, </w:t>
      </w:r>
      <w:r w:rsidR="0070798D" w:rsidRPr="00F9297D">
        <w:rPr>
          <w:rFonts w:ascii="FrankRuehl" w:hAnsi="FrankRuehl" w:cs="FrankRuehl"/>
          <w:noProof w:val="0"/>
          <w:sz w:val="26"/>
          <w:szCs w:val="26"/>
          <w:rtl/>
        </w:rPr>
        <w:t xml:space="preserve">ע"א 7117/19 </w:t>
      </w:r>
      <w:r w:rsidR="0070798D" w:rsidRPr="00F9297D">
        <w:rPr>
          <w:rFonts w:ascii="FrankRuehl" w:hAnsi="FrankRuehl" w:cs="FrankRuehl"/>
          <w:b/>
          <w:bCs/>
          <w:noProof w:val="0"/>
          <w:sz w:val="26"/>
          <w:szCs w:val="26"/>
          <w:rtl/>
        </w:rPr>
        <w:t>פלוני נ' פלוני</w:t>
      </w:r>
      <w:r w:rsidR="0070798D" w:rsidRPr="00F9297D">
        <w:rPr>
          <w:rFonts w:ascii="FrankRuehl" w:hAnsi="FrankRuehl" w:cs="FrankRuehl"/>
          <w:noProof w:val="0"/>
          <w:sz w:val="26"/>
          <w:szCs w:val="26"/>
          <w:rtl/>
        </w:rPr>
        <w:t xml:space="preserve"> (01.03.2022)</w:t>
      </w:r>
      <w:r w:rsidR="00B538C4">
        <w:rPr>
          <w:rFonts w:ascii="FrankRuehl" w:hAnsi="FrankRuehl" w:cs="FrankRuehl" w:hint="cs"/>
          <w:noProof w:val="0"/>
          <w:sz w:val="26"/>
          <w:szCs w:val="26"/>
          <w:rtl/>
        </w:rPr>
        <w:t xml:space="preserve">, </w:t>
      </w:r>
      <w:r w:rsidR="00B538C4" w:rsidRPr="00346C31">
        <w:rPr>
          <w:rFonts w:ascii="FrankRuehl" w:hAnsi="FrankRuehl" w:cs="FrankRuehl"/>
          <w:color w:val="000000"/>
          <w:sz w:val="26"/>
          <w:szCs w:val="26"/>
          <w:rtl/>
        </w:rPr>
        <w:t xml:space="preserve">ע"א 3523/15 </w:t>
      </w:r>
      <w:r w:rsidR="00B538C4" w:rsidRPr="00346C31">
        <w:rPr>
          <w:rFonts w:ascii="FrankRuehl" w:hAnsi="FrankRuehl" w:cs="FrankRuehl"/>
          <w:b/>
          <w:bCs/>
          <w:color w:val="000000"/>
          <w:sz w:val="26"/>
          <w:szCs w:val="26"/>
          <w:rtl/>
        </w:rPr>
        <w:t>מפעלי תרנ"א מלונאות ונופש נ' רשות מקרקעי ישראל</w:t>
      </w:r>
      <w:r w:rsidR="00B538C4" w:rsidRPr="00346C31">
        <w:rPr>
          <w:rFonts w:ascii="FrankRuehl" w:hAnsi="FrankRuehl" w:cs="FrankRuehl"/>
          <w:color w:val="000000"/>
          <w:sz w:val="26"/>
          <w:szCs w:val="26"/>
          <w:rtl/>
        </w:rPr>
        <w:t xml:space="preserve"> (19.03.2017)</w:t>
      </w:r>
      <w:r w:rsidR="00B538C4">
        <w:rPr>
          <w:rFonts w:ascii="FrankRuehl" w:hAnsi="FrankRuehl" w:cs="FrankRuehl" w:hint="cs"/>
          <w:color w:val="000000"/>
          <w:sz w:val="26"/>
          <w:szCs w:val="26"/>
          <w:rtl/>
        </w:rPr>
        <w:t xml:space="preserve">, להלן: </w:t>
      </w:r>
      <w:r w:rsidR="00B538C4" w:rsidRPr="002D7A35">
        <w:rPr>
          <w:rFonts w:asciiTheme="minorBidi" w:hAnsiTheme="minorBidi" w:cstheme="minorBidi"/>
          <w:color w:val="000000"/>
          <w:rtl/>
        </w:rPr>
        <w:t>עניין מפעלי תרנ"א</w:t>
      </w:r>
      <w:r w:rsidR="0070798D" w:rsidRPr="00F9297D">
        <w:rPr>
          <w:rFonts w:ascii="FrankRuehl" w:hAnsi="FrankRuehl" w:cs="FrankRuehl" w:hint="cs"/>
          <w:noProof w:val="0"/>
          <w:sz w:val="26"/>
          <w:szCs w:val="26"/>
          <w:rtl/>
        </w:rPr>
        <w:t>).</w:t>
      </w:r>
      <w:r w:rsidR="00641CFC" w:rsidRPr="00F9297D">
        <w:rPr>
          <w:rFonts w:ascii="FrankRuehl" w:hAnsi="FrankRuehl" w:cs="FrankRuehl" w:hint="cs"/>
          <w:noProof w:val="0"/>
          <w:sz w:val="26"/>
          <w:szCs w:val="26"/>
          <w:rtl/>
        </w:rPr>
        <w:t xml:space="preserve"> </w:t>
      </w:r>
      <w:r w:rsidR="00B25AA8" w:rsidRPr="00F9297D">
        <w:rPr>
          <w:rFonts w:ascii="FrankRuehl" w:hAnsi="FrankRuehl" w:cs="FrankRuehl" w:hint="cs"/>
          <w:noProof w:val="0"/>
          <w:sz w:val="26"/>
          <w:szCs w:val="26"/>
          <w:rtl/>
        </w:rPr>
        <w:t>לפיכך, עלה בידי התובע להזים את</w:t>
      </w:r>
      <w:r w:rsidR="00C36420" w:rsidRPr="00F9297D">
        <w:rPr>
          <w:rFonts w:ascii="FrankRuehl" w:hAnsi="FrankRuehl" w:cs="FrankRuehl" w:hint="cs"/>
          <w:noProof w:val="0"/>
          <w:sz w:val="26"/>
          <w:szCs w:val="26"/>
          <w:rtl/>
        </w:rPr>
        <w:t xml:space="preserve"> טענת הנתבעת, לפיה קראה את ההסכם לראשונה סמוך לחתימתו. עובדה זו מחלישה ביתר שאת את טענת הנתבעת, להיעדר גמירות דעת.</w:t>
      </w:r>
      <w:r w:rsidR="00F9297D" w:rsidRPr="00F9297D">
        <w:rPr>
          <w:rFonts w:ascii="FrankRuehl" w:hAnsi="FrankRuehl" w:cs="FrankRuehl" w:hint="cs"/>
          <w:noProof w:val="0"/>
          <w:sz w:val="26"/>
          <w:szCs w:val="26"/>
          <w:rtl/>
        </w:rPr>
        <w:t xml:space="preserve"> ל</w:t>
      </w:r>
      <w:r w:rsidR="00F9297D">
        <w:rPr>
          <w:rFonts w:ascii="FrankRuehl" w:hAnsi="FrankRuehl" w:cs="FrankRuehl" w:hint="cs"/>
          <w:noProof w:val="0"/>
          <w:sz w:val="26"/>
          <w:szCs w:val="26"/>
          <w:rtl/>
        </w:rPr>
        <w:t>מעלה מן הצורך, ולהשלמת ההנ</w:t>
      </w:r>
      <w:r w:rsidR="00F9297D" w:rsidRPr="00F9297D">
        <w:rPr>
          <w:rFonts w:ascii="FrankRuehl" w:hAnsi="FrankRuehl" w:cs="FrankRuehl" w:hint="cs"/>
          <w:noProof w:val="0"/>
          <w:sz w:val="26"/>
          <w:szCs w:val="26"/>
          <w:rtl/>
        </w:rPr>
        <w:t>מ</w:t>
      </w:r>
      <w:r w:rsidR="00F9297D">
        <w:rPr>
          <w:rFonts w:ascii="FrankRuehl" w:hAnsi="FrankRuehl" w:cs="FrankRuehl" w:hint="cs"/>
          <w:noProof w:val="0"/>
          <w:sz w:val="26"/>
          <w:szCs w:val="26"/>
          <w:rtl/>
        </w:rPr>
        <w:t>ק</w:t>
      </w:r>
      <w:r w:rsidR="00F9297D" w:rsidRPr="00F9297D">
        <w:rPr>
          <w:rFonts w:ascii="FrankRuehl" w:hAnsi="FrankRuehl" w:cs="FrankRuehl" w:hint="cs"/>
          <w:noProof w:val="0"/>
          <w:sz w:val="26"/>
          <w:szCs w:val="26"/>
          <w:rtl/>
        </w:rPr>
        <w:t xml:space="preserve">ה - </w:t>
      </w:r>
      <w:r w:rsidR="00F9297D">
        <w:rPr>
          <w:rFonts w:ascii="FrankRuehl" w:hAnsi="FrankRuehl" w:cs="FrankRuehl" w:hint="cs"/>
          <w:noProof w:val="0"/>
          <w:sz w:val="26"/>
          <w:szCs w:val="26"/>
          <w:rtl/>
        </w:rPr>
        <w:t>ג</w:t>
      </w:r>
      <w:r w:rsidR="00C36420" w:rsidRPr="00F9297D">
        <w:rPr>
          <w:rFonts w:ascii="FrankRuehl" w:hAnsi="FrankRuehl" w:cs="FrankRuehl" w:hint="cs"/>
          <w:noProof w:val="0"/>
          <w:sz w:val="26"/>
          <w:szCs w:val="26"/>
          <w:rtl/>
        </w:rPr>
        <w:t xml:space="preserve">ם אילו הלכתי לשיטת הנתבעת, </w:t>
      </w:r>
      <w:r w:rsidR="00283B87" w:rsidRPr="00F9297D">
        <w:rPr>
          <w:rFonts w:ascii="FrankRuehl" w:hAnsi="FrankRuehl" w:cs="FrankRuehl" w:hint="cs"/>
          <w:noProof w:val="0"/>
          <w:sz w:val="26"/>
          <w:szCs w:val="26"/>
          <w:rtl/>
        </w:rPr>
        <w:t xml:space="preserve">לא היה בכך כדי להועיל לה. הנתבעת </w:t>
      </w:r>
      <w:r w:rsidR="00C36420" w:rsidRPr="00F9297D">
        <w:rPr>
          <w:rFonts w:ascii="FrankRuehl" w:hAnsi="FrankRuehl" w:cs="FrankRuehl" w:hint="cs"/>
          <w:noProof w:val="0"/>
          <w:sz w:val="26"/>
          <w:szCs w:val="26"/>
          <w:rtl/>
        </w:rPr>
        <w:t>הודתה (עמ' 193), שהיא קראה את ההסכם</w:t>
      </w:r>
      <w:r w:rsidR="001042C2">
        <w:rPr>
          <w:rFonts w:ascii="FrankRuehl" w:hAnsi="FrankRuehl" w:cs="FrankRuehl" w:hint="cs"/>
          <w:noProof w:val="0"/>
          <w:sz w:val="26"/>
          <w:szCs w:val="26"/>
          <w:rtl/>
        </w:rPr>
        <w:t>,</w:t>
      </w:r>
      <w:r w:rsidR="00C36420" w:rsidRPr="00F9297D">
        <w:rPr>
          <w:rFonts w:ascii="FrankRuehl" w:hAnsi="FrankRuehl" w:cs="FrankRuehl" w:hint="cs"/>
          <w:noProof w:val="0"/>
          <w:sz w:val="26"/>
          <w:szCs w:val="26"/>
          <w:rtl/>
        </w:rPr>
        <w:t xml:space="preserve"> לפני שחתמה עליו. </w:t>
      </w:r>
      <w:r w:rsidR="00283B87" w:rsidRPr="00F9297D">
        <w:rPr>
          <w:rFonts w:ascii="FrankRuehl" w:hAnsi="FrankRuehl" w:cs="FrankRuehl" w:hint="cs"/>
          <w:noProof w:val="0"/>
          <w:sz w:val="26"/>
          <w:szCs w:val="26"/>
          <w:rtl/>
        </w:rPr>
        <w:t>די בכך כדי לבסס מסקנה, לפיה הנתבעת הייתה מודעת לתוכן ההסכם והבינה אותו. יתירה מזו, העובדה שהנתבעת טרחה לקרוא את ההסכם</w:t>
      </w:r>
      <w:r w:rsidR="001042C2">
        <w:rPr>
          <w:rFonts w:ascii="FrankRuehl" w:hAnsi="FrankRuehl" w:cs="FrankRuehl" w:hint="cs"/>
          <w:noProof w:val="0"/>
          <w:sz w:val="26"/>
          <w:szCs w:val="26"/>
          <w:rtl/>
        </w:rPr>
        <w:t>,</w:t>
      </w:r>
      <w:r w:rsidR="00283B87" w:rsidRPr="00F9297D">
        <w:rPr>
          <w:rFonts w:ascii="FrankRuehl" w:hAnsi="FrankRuehl" w:cs="FrankRuehl" w:hint="cs"/>
          <w:noProof w:val="0"/>
          <w:sz w:val="26"/>
          <w:szCs w:val="26"/>
          <w:rtl/>
        </w:rPr>
        <w:t xml:space="preserve"> מעידה אודות הרצינות</w:t>
      </w:r>
      <w:r w:rsidR="001042C2">
        <w:rPr>
          <w:rFonts w:ascii="FrankRuehl" w:hAnsi="FrankRuehl" w:cs="FrankRuehl" w:hint="cs"/>
          <w:noProof w:val="0"/>
          <w:sz w:val="26"/>
          <w:szCs w:val="26"/>
          <w:rtl/>
        </w:rPr>
        <w:t>,</w:t>
      </w:r>
      <w:r w:rsidR="00283B87" w:rsidRPr="00F9297D">
        <w:rPr>
          <w:rFonts w:ascii="FrankRuehl" w:hAnsi="FrankRuehl" w:cs="FrankRuehl" w:hint="cs"/>
          <w:noProof w:val="0"/>
          <w:sz w:val="26"/>
          <w:szCs w:val="26"/>
          <w:rtl/>
        </w:rPr>
        <w:t xml:space="preserve"> שהצדדים הקנו לחתימתם עליו</w:t>
      </w:r>
      <w:r w:rsidR="00C36420" w:rsidRPr="00F9297D">
        <w:rPr>
          <w:rFonts w:ascii="FrankRuehl" w:hAnsi="FrankRuehl" w:cs="FrankRuehl" w:hint="cs"/>
          <w:noProof w:val="0"/>
          <w:sz w:val="26"/>
          <w:szCs w:val="26"/>
          <w:rtl/>
        </w:rPr>
        <w:t>.</w:t>
      </w:r>
    </w:p>
    <w:p w:rsidR="00D23CA7" w:rsidRDefault="00D23CA7" w:rsidP="001042C2">
      <w:pPr>
        <w:pStyle w:val="ad"/>
        <w:numPr>
          <w:ilvl w:val="0"/>
          <w:numId w:val="1"/>
        </w:numPr>
        <w:spacing w:after="240" w:line="360" w:lineRule="auto"/>
        <w:contextualSpacing w:val="0"/>
        <w:jc w:val="both"/>
        <w:rPr>
          <w:rFonts w:ascii="FrankRuehl" w:hAnsi="FrankRuehl" w:cs="FrankRuehl"/>
          <w:noProof w:val="0"/>
          <w:sz w:val="26"/>
          <w:szCs w:val="26"/>
        </w:rPr>
      </w:pPr>
      <w:r>
        <w:rPr>
          <w:rFonts w:ascii="FrankRuehl" w:hAnsi="FrankRuehl" w:cs="FrankRuehl" w:hint="cs"/>
          <w:noProof w:val="0"/>
          <w:sz w:val="26"/>
          <w:szCs w:val="26"/>
          <w:rtl/>
        </w:rPr>
        <w:t>התובע הגיש (נספח 2 לתצהירו) סרטון</w:t>
      </w:r>
      <w:r w:rsidR="001042C2">
        <w:rPr>
          <w:rFonts w:ascii="FrankRuehl" w:hAnsi="FrankRuehl" w:cs="FrankRuehl" w:hint="cs"/>
          <w:noProof w:val="0"/>
          <w:sz w:val="26"/>
          <w:szCs w:val="26"/>
          <w:rtl/>
        </w:rPr>
        <w:t>,</w:t>
      </w:r>
      <w:r>
        <w:rPr>
          <w:rFonts w:ascii="FrankRuehl" w:hAnsi="FrankRuehl" w:cs="FrankRuehl" w:hint="cs"/>
          <w:noProof w:val="0"/>
          <w:sz w:val="26"/>
          <w:szCs w:val="26"/>
          <w:rtl/>
        </w:rPr>
        <w:t xml:space="preserve"> המתעד</w:t>
      </w:r>
      <w:r w:rsidR="001042C2">
        <w:rPr>
          <w:rFonts w:ascii="FrankRuehl" w:hAnsi="FrankRuehl" w:cs="FrankRuehl" w:hint="cs"/>
          <w:noProof w:val="0"/>
          <w:sz w:val="26"/>
          <w:szCs w:val="26"/>
          <w:rtl/>
        </w:rPr>
        <w:t>,</w:t>
      </w:r>
      <w:r>
        <w:rPr>
          <w:rFonts w:ascii="FrankRuehl" w:hAnsi="FrankRuehl" w:cs="FrankRuehl" w:hint="cs"/>
          <w:noProof w:val="0"/>
          <w:sz w:val="26"/>
          <w:szCs w:val="26"/>
          <w:rtl/>
        </w:rPr>
        <w:t xml:space="preserve"> את מעמד </w:t>
      </w:r>
      <w:r w:rsidR="007D3ABA">
        <w:rPr>
          <w:rFonts w:ascii="FrankRuehl" w:hAnsi="FrankRuehl" w:cs="FrankRuehl" w:hint="cs"/>
          <w:noProof w:val="0"/>
          <w:sz w:val="26"/>
          <w:szCs w:val="26"/>
          <w:rtl/>
        </w:rPr>
        <w:t>חתימת ההסכם. בסרטון נראית הנתבעת</w:t>
      </w:r>
      <w:r w:rsidR="000033DE">
        <w:rPr>
          <w:rFonts w:ascii="FrankRuehl" w:hAnsi="FrankRuehl" w:cs="FrankRuehl" w:hint="cs"/>
          <w:noProof w:val="0"/>
          <w:sz w:val="26"/>
          <w:szCs w:val="26"/>
          <w:rtl/>
        </w:rPr>
        <w:t>,</w:t>
      </w:r>
      <w:r w:rsidR="007D3ABA">
        <w:rPr>
          <w:rFonts w:ascii="FrankRuehl" w:hAnsi="FrankRuehl" w:cs="FrankRuehl" w:hint="cs"/>
          <w:noProof w:val="0"/>
          <w:sz w:val="26"/>
          <w:szCs w:val="26"/>
          <w:rtl/>
        </w:rPr>
        <w:t xml:space="preserve"> </w:t>
      </w:r>
      <w:r w:rsidR="00AF730D">
        <w:rPr>
          <w:rFonts w:ascii="FrankRuehl" w:hAnsi="FrankRuehl" w:cs="FrankRuehl" w:hint="cs"/>
          <w:noProof w:val="0"/>
          <w:sz w:val="26"/>
          <w:szCs w:val="26"/>
          <w:rtl/>
        </w:rPr>
        <w:t>לאחר שכבר חתמה על ההסכם</w:t>
      </w:r>
      <w:r w:rsidR="000033DE">
        <w:rPr>
          <w:rFonts w:ascii="FrankRuehl" w:hAnsi="FrankRuehl" w:cs="FrankRuehl" w:hint="cs"/>
          <w:noProof w:val="0"/>
          <w:sz w:val="26"/>
          <w:szCs w:val="26"/>
          <w:rtl/>
        </w:rPr>
        <w:t xml:space="preserve">. הנתבעת </w:t>
      </w:r>
      <w:r w:rsidR="00AF730D">
        <w:rPr>
          <w:rFonts w:ascii="FrankRuehl" w:hAnsi="FrankRuehl" w:cs="FrankRuehl" w:hint="cs"/>
          <w:noProof w:val="0"/>
          <w:sz w:val="26"/>
          <w:szCs w:val="26"/>
          <w:rtl/>
        </w:rPr>
        <w:t xml:space="preserve">משתהה מעט לעיין </w:t>
      </w:r>
      <w:r w:rsidR="000033DE">
        <w:rPr>
          <w:rFonts w:ascii="FrankRuehl" w:hAnsi="FrankRuehl" w:cs="FrankRuehl" w:hint="cs"/>
          <w:noProof w:val="0"/>
          <w:sz w:val="26"/>
          <w:szCs w:val="26"/>
          <w:rtl/>
        </w:rPr>
        <w:t>בהסכם שוב</w:t>
      </w:r>
      <w:r w:rsidR="00AF730D">
        <w:rPr>
          <w:rFonts w:ascii="FrankRuehl" w:hAnsi="FrankRuehl" w:cs="FrankRuehl" w:hint="cs"/>
          <w:noProof w:val="0"/>
          <w:sz w:val="26"/>
          <w:szCs w:val="26"/>
          <w:rtl/>
        </w:rPr>
        <w:t>, ואז משיבה בחיוב לשאלת התובע אם הכל בסדר. אחר כך</w:t>
      </w:r>
      <w:r w:rsidR="00B94950">
        <w:rPr>
          <w:rFonts w:ascii="FrankRuehl" w:hAnsi="FrankRuehl" w:cs="FrankRuehl" w:hint="cs"/>
          <w:noProof w:val="0"/>
          <w:sz w:val="26"/>
          <w:szCs w:val="26"/>
          <w:rtl/>
        </w:rPr>
        <w:t>,</w:t>
      </w:r>
      <w:r w:rsidR="00AF730D">
        <w:rPr>
          <w:rFonts w:ascii="FrankRuehl" w:hAnsi="FrankRuehl" w:cs="FrankRuehl" w:hint="cs"/>
          <w:noProof w:val="0"/>
          <w:sz w:val="26"/>
          <w:szCs w:val="26"/>
          <w:rtl/>
        </w:rPr>
        <w:t xml:space="preserve"> </w:t>
      </w:r>
      <w:r w:rsidR="00F975DA">
        <w:rPr>
          <w:rFonts w:ascii="FrankRuehl" w:hAnsi="FrankRuehl" w:cs="FrankRuehl" w:hint="cs"/>
          <w:noProof w:val="0"/>
          <w:sz w:val="26"/>
          <w:szCs w:val="26"/>
          <w:rtl/>
        </w:rPr>
        <w:t xml:space="preserve">הנתבעת </w:t>
      </w:r>
      <w:r w:rsidR="000033DE">
        <w:rPr>
          <w:rFonts w:ascii="FrankRuehl" w:hAnsi="FrankRuehl" w:cs="FrankRuehl" w:hint="cs"/>
          <w:noProof w:val="0"/>
          <w:sz w:val="26"/>
          <w:szCs w:val="26"/>
          <w:rtl/>
        </w:rPr>
        <w:t>היא ש</w:t>
      </w:r>
      <w:r w:rsidR="00F975DA">
        <w:rPr>
          <w:rFonts w:ascii="FrankRuehl" w:hAnsi="FrankRuehl" w:cs="FrankRuehl" w:hint="cs"/>
          <w:noProof w:val="0"/>
          <w:sz w:val="26"/>
          <w:szCs w:val="26"/>
          <w:rtl/>
        </w:rPr>
        <w:t>אומרת לתובע</w:t>
      </w:r>
      <w:r w:rsidR="001042C2">
        <w:rPr>
          <w:rFonts w:ascii="FrankRuehl" w:hAnsi="FrankRuehl" w:cs="FrankRuehl" w:hint="cs"/>
          <w:noProof w:val="0"/>
          <w:sz w:val="26"/>
          <w:szCs w:val="26"/>
          <w:rtl/>
        </w:rPr>
        <w:t>,</w:t>
      </w:r>
      <w:r w:rsidR="00F975DA">
        <w:rPr>
          <w:rFonts w:ascii="FrankRuehl" w:hAnsi="FrankRuehl" w:cs="FrankRuehl" w:hint="cs"/>
          <w:noProof w:val="0"/>
          <w:sz w:val="26"/>
          <w:szCs w:val="26"/>
          <w:rtl/>
        </w:rPr>
        <w:t xml:space="preserve"> לחתום על ההסכם ואף מקריאה את מספר הדרכון שלו</w:t>
      </w:r>
      <w:r w:rsidR="00B94950">
        <w:rPr>
          <w:rFonts w:ascii="FrankRuehl" w:hAnsi="FrankRuehl" w:cs="FrankRuehl" w:hint="cs"/>
          <w:noProof w:val="0"/>
          <w:sz w:val="26"/>
          <w:szCs w:val="26"/>
          <w:rtl/>
        </w:rPr>
        <w:t>,</w:t>
      </w:r>
      <w:r w:rsidR="00F975DA">
        <w:rPr>
          <w:rFonts w:ascii="FrankRuehl" w:hAnsi="FrankRuehl" w:cs="FrankRuehl" w:hint="cs"/>
          <w:noProof w:val="0"/>
          <w:sz w:val="26"/>
          <w:szCs w:val="26"/>
          <w:rtl/>
        </w:rPr>
        <w:t xml:space="preserve"> על מנת שייכתב ליד חת</w:t>
      </w:r>
      <w:r w:rsidR="000033DE">
        <w:rPr>
          <w:rFonts w:ascii="FrankRuehl" w:hAnsi="FrankRuehl" w:cs="FrankRuehl" w:hint="cs"/>
          <w:noProof w:val="0"/>
          <w:sz w:val="26"/>
          <w:szCs w:val="26"/>
          <w:rtl/>
        </w:rPr>
        <w:t>י</w:t>
      </w:r>
      <w:r w:rsidR="00F975DA">
        <w:rPr>
          <w:rFonts w:ascii="FrankRuehl" w:hAnsi="FrankRuehl" w:cs="FrankRuehl" w:hint="cs"/>
          <w:noProof w:val="0"/>
          <w:sz w:val="26"/>
          <w:szCs w:val="26"/>
          <w:rtl/>
        </w:rPr>
        <w:t>מתו</w:t>
      </w:r>
      <w:r w:rsidR="000033DE">
        <w:rPr>
          <w:rFonts w:ascii="FrankRuehl" w:hAnsi="FrankRuehl" w:cs="FrankRuehl" w:hint="cs"/>
          <w:noProof w:val="0"/>
          <w:sz w:val="26"/>
          <w:szCs w:val="26"/>
          <w:rtl/>
        </w:rPr>
        <w:t>. הנתבעת מסבה את תשומת לבו של התובע</w:t>
      </w:r>
      <w:r w:rsidR="001042C2">
        <w:rPr>
          <w:rFonts w:ascii="FrankRuehl" w:hAnsi="FrankRuehl" w:cs="FrankRuehl" w:hint="cs"/>
          <w:noProof w:val="0"/>
          <w:sz w:val="26"/>
          <w:szCs w:val="26"/>
          <w:rtl/>
        </w:rPr>
        <w:t>,</w:t>
      </w:r>
      <w:r w:rsidR="000033DE">
        <w:rPr>
          <w:rFonts w:ascii="FrankRuehl" w:hAnsi="FrankRuehl" w:cs="FrankRuehl" w:hint="cs"/>
          <w:noProof w:val="0"/>
          <w:sz w:val="26"/>
          <w:szCs w:val="26"/>
          <w:rtl/>
        </w:rPr>
        <w:t xml:space="preserve"> להביט למצלמה</w:t>
      </w:r>
      <w:r w:rsidR="001042C2">
        <w:rPr>
          <w:rFonts w:ascii="FrankRuehl" w:hAnsi="FrankRuehl" w:cs="FrankRuehl" w:hint="cs"/>
          <w:noProof w:val="0"/>
          <w:sz w:val="26"/>
          <w:szCs w:val="26"/>
          <w:rtl/>
        </w:rPr>
        <w:t>,</w:t>
      </w:r>
      <w:r w:rsidR="000033DE">
        <w:rPr>
          <w:rFonts w:ascii="FrankRuehl" w:hAnsi="FrankRuehl" w:cs="FrankRuehl" w:hint="cs"/>
          <w:noProof w:val="0"/>
          <w:sz w:val="26"/>
          <w:szCs w:val="26"/>
          <w:rtl/>
        </w:rPr>
        <w:t xml:space="preserve"> בעת החתימה. מהסרטון עולה בבירור, שהצדדים לא התייחסו לחתימת ההסכם כבדיחה פנימית, אלא כמעמד מחייב. גם העובדה שהמעמד הונצח בסרטון </w:t>
      </w:r>
      <w:r w:rsidR="0025639D">
        <w:rPr>
          <w:rFonts w:ascii="FrankRuehl" w:hAnsi="FrankRuehl" w:cs="FrankRuehl" w:hint="cs"/>
          <w:noProof w:val="0"/>
          <w:sz w:val="26"/>
          <w:szCs w:val="26"/>
          <w:rtl/>
        </w:rPr>
        <w:t>ווידאו</w:t>
      </w:r>
      <w:r w:rsidR="001042C2">
        <w:rPr>
          <w:rFonts w:ascii="FrankRuehl" w:hAnsi="FrankRuehl" w:cs="FrankRuehl" w:hint="cs"/>
          <w:noProof w:val="0"/>
          <w:sz w:val="26"/>
          <w:szCs w:val="26"/>
          <w:rtl/>
        </w:rPr>
        <w:t>,</w:t>
      </w:r>
      <w:r w:rsidR="000033DE">
        <w:rPr>
          <w:rFonts w:ascii="FrankRuehl" w:hAnsi="FrankRuehl" w:cs="FrankRuehl" w:hint="cs"/>
          <w:noProof w:val="0"/>
          <w:sz w:val="26"/>
          <w:szCs w:val="26"/>
          <w:rtl/>
        </w:rPr>
        <w:t xml:space="preserve"> מבססת מסקנה זו.</w:t>
      </w:r>
    </w:p>
    <w:p w:rsidR="00ED16D1" w:rsidRDefault="00ED16D1" w:rsidP="008A22F5">
      <w:pPr>
        <w:pStyle w:val="ad"/>
        <w:numPr>
          <w:ilvl w:val="0"/>
          <w:numId w:val="1"/>
        </w:numPr>
        <w:spacing w:after="240" w:line="360" w:lineRule="auto"/>
        <w:contextualSpacing w:val="0"/>
        <w:jc w:val="both"/>
        <w:rPr>
          <w:rFonts w:ascii="FrankRuehl" w:hAnsi="FrankRuehl" w:cs="FrankRuehl"/>
          <w:noProof w:val="0"/>
          <w:sz w:val="26"/>
          <w:szCs w:val="26"/>
        </w:rPr>
      </w:pPr>
      <w:r>
        <w:rPr>
          <w:rFonts w:ascii="FrankRuehl" w:hAnsi="FrankRuehl" w:cs="FrankRuehl" w:hint="cs"/>
          <w:noProof w:val="0"/>
          <w:sz w:val="26"/>
          <w:szCs w:val="26"/>
          <w:rtl/>
        </w:rPr>
        <w:t>ה</w:t>
      </w:r>
      <w:r w:rsidR="008F7BA9">
        <w:rPr>
          <w:rFonts w:ascii="FrankRuehl" w:hAnsi="FrankRuehl" w:cs="FrankRuehl" w:hint="cs"/>
          <w:noProof w:val="0"/>
          <w:sz w:val="26"/>
          <w:szCs w:val="26"/>
          <w:rtl/>
        </w:rPr>
        <w:t>תובע הוכיח, באמצעות תצהירו של מר מ</w:t>
      </w:r>
      <w:r w:rsidR="008A22F5">
        <w:rPr>
          <w:rFonts w:ascii="FrankRuehl" w:hAnsi="FrankRuehl" w:cs="FrankRuehl" w:hint="cs"/>
          <w:noProof w:val="0"/>
          <w:sz w:val="26"/>
          <w:szCs w:val="26"/>
          <w:rtl/>
        </w:rPr>
        <w:t xml:space="preserve">.ר </w:t>
      </w:r>
      <w:r w:rsidR="00FC529F">
        <w:rPr>
          <w:rFonts w:ascii="FrankRuehl" w:hAnsi="FrankRuehl" w:cs="FrankRuehl" w:hint="cs"/>
          <w:noProof w:val="0"/>
          <w:sz w:val="26"/>
          <w:szCs w:val="26"/>
          <w:rtl/>
        </w:rPr>
        <w:t>(קרוב משפחתו של התובע, שייעץ לו בעני</w:t>
      </w:r>
      <w:r w:rsidR="0025639D">
        <w:rPr>
          <w:rFonts w:ascii="FrankRuehl" w:hAnsi="FrankRuehl" w:cs="FrankRuehl" w:hint="cs"/>
          <w:noProof w:val="0"/>
          <w:sz w:val="26"/>
          <w:szCs w:val="26"/>
          <w:rtl/>
        </w:rPr>
        <w:t xml:space="preserve">ינים מקצועיים) ובאמצעות </w:t>
      </w:r>
      <w:r w:rsidR="008F7BA9">
        <w:rPr>
          <w:rFonts w:ascii="FrankRuehl" w:hAnsi="FrankRuehl" w:cs="FrankRuehl" w:hint="cs"/>
          <w:noProof w:val="0"/>
          <w:sz w:val="26"/>
          <w:szCs w:val="26"/>
          <w:rtl/>
        </w:rPr>
        <w:t>עדותו, שהתקיימו שתי שיחות סקייפ</w:t>
      </w:r>
      <w:r w:rsidR="0040582D">
        <w:rPr>
          <w:rFonts w:ascii="FrankRuehl" w:hAnsi="FrankRuehl" w:cs="FrankRuehl" w:hint="cs"/>
          <w:noProof w:val="0"/>
          <w:sz w:val="26"/>
          <w:szCs w:val="26"/>
          <w:rtl/>
        </w:rPr>
        <w:t>, בהפרש של כשעה (עמ' 58 שו' 7-10),</w:t>
      </w:r>
      <w:r w:rsidR="008F7BA9">
        <w:rPr>
          <w:rFonts w:ascii="FrankRuehl" w:hAnsi="FrankRuehl" w:cs="FrankRuehl" w:hint="cs"/>
          <w:noProof w:val="0"/>
          <w:sz w:val="26"/>
          <w:szCs w:val="26"/>
          <w:rtl/>
        </w:rPr>
        <w:t xml:space="preserve"> ש</w:t>
      </w:r>
      <w:r w:rsidR="00B94950">
        <w:rPr>
          <w:rFonts w:ascii="FrankRuehl" w:hAnsi="FrankRuehl" w:cs="FrankRuehl" w:hint="cs"/>
          <w:noProof w:val="0"/>
          <w:sz w:val="26"/>
          <w:szCs w:val="26"/>
          <w:rtl/>
        </w:rPr>
        <w:t xml:space="preserve">עניינן </w:t>
      </w:r>
      <w:r w:rsidR="008F7BA9">
        <w:rPr>
          <w:rFonts w:ascii="FrankRuehl" w:hAnsi="FrankRuehl" w:cs="FrankRuehl" w:hint="cs"/>
          <w:noProof w:val="0"/>
          <w:sz w:val="26"/>
          <w:szCs w:val="26"/>
          <w:rtl/>
        </w:rPr>
        <w:t xml:space="preserve">התייעצות לגבי ההסכם. </w:t>
      </w:r>
      <w:r w:rsidR="0040582D">
        <w:rPr>
          <w:rFonts w:ascii="FrankRuehl" w:hAnsi="FrankRuehl" w:cs="FrankRuehl" w:hint="cs"/>
          <w:noProof w:val="0"/>
          <w:sz w:val="26"/>
          <w:szCs w:val="26"/>
          <w:rtl/>
        </w:rPr>
        <w:t>הגם, שהשיחות התקיימו עם התובע בעברית, הצהיר מר ר</w:t>
      </w:r>
      <w:r w:rsidR="008A22F5">
        <w:rPr>
          <w:rFonts w:ascii="FrankRuehl" w:hAnsi="FrankRuehl" w:cs="FrankRuehl" w:hint="cs"/>
          <w:noProof w:val="0"/>
          <w:sz w:val="26"/>
          <w:szCs w:val="26"/>
          <w:rtl/>
        </w:rPr>
        <w:t>'</w:t>
      </w:r>
      <w:r w:rsidR="0040582D">
        <w:rPr>
          <w:rFonts w:ascii="FrankRuehl" w:hAnsi="FrankRuehl" w:cs="FrankRuehl" w:hint="cs"/>
          <w:noProof w:val="0"/>
          <w:sz w:val="26"/>
          <w:szCs w:val="26"/>
          <w:rtl/>
        </w:rPr>
        <w:t xml:space="preserve"> שהחליף </w:t>
      </w:r>
      <w:r w:rsidR="0025639D">
        <w:rPr>
          <w:rFonts w:ascii="FrankRuehl" w:hAnsi="FrankRuehl" w:cs="FrankRuehl" w:hint="cs"/>
          <w:noProof w:val="0"/>
          <w:sz w:val="26"/>
          <w:szCs w:val="26"/>
          <w:rtl/>
        </w:rPr>
        <w:t xml:space="preserve">גם מספר מילים עם הנתבעת. עצם קיום </w:t>
      </w:r>
      <w:r w:rsidR="0040582D">
        <w:rPr>
          <w:rFonts w:ascii="FrankRuehl" w:hAnsi="FrankRuehl" w:cs="FrankRuehl" w:hint="cs"/>
          <w:noProof w:val="0"/>
          <w:sz w:val="26"/>
          <w:szCs w:val="26"/>
          <w:rtl/>
        </w:rPr>
        <w:t>שיחות</w:t>
      </w:r>
      <w:r w:rsidR="0025639D">
        <w:rPr>
          <w:rFonts w:ascii="FrankRuehl" w:hAnsi="FrankRuehl" w:cs="FrankRuehl" w:hint="cs"/>
          <w:noProof w:val="0"/>
          <w:sz w:val="26"/>
          <w:szCs w:val="26"/>
          <w:rtl/>
        </w:rPr>
        <w:t xml:space="preserve"> ההתייעצות</w:t>
      </w:r>
      <w:r w:rsidR="0040582D">
        <w:rPr>
          <w:rFonts w:ascii="FrankRuehl" w:hAnsi="FrankRuehl" w:cs="FrankRuehl" w:hint="cs"/>
          <w:noProof w:val="0"/>
          <w:sz w:val="26"/>
          <w:szCs w:val="26"/>
          <w:rtl/>
        </w:rPr>
        <w:t xml:space="preserve">, ואפילו אניח שהנתבעת לא הבינה את תוכנן, מעיד על הסכם רציני ומחייב, </w:t>
      </w:r>
      <w:r w:rsidR="0025639D">
        <w:rPr>
          <w:rFonts w:ascii="FrankRuehl" w:hAnsi="FrankRuehl" w:cs="FrankRuehl" w:hint="cs"/>
          <w:noProof w:val="0"/>
          <w:sz w:val="26"/>
          <w:szCs w:val="26"/>
          <w:rtl/>
        </w:rPr>
        <w:t>לפחות לפי אומד דעתו של התובע</w:t>
      </w:r>
      <w:r w:rsidR="0040582D">
        <w:rPr>
          <w:rFonts w:ascii="FrankRuehl" w:hAnsi="FrankRuehl" w:cs="FrankRuehl" w:hint="cs"/>
          <w:noProof w:val="0"/>
          <w:sz w:val="26"/>
          <w:szCs w:val="26"/>
          <w:rtl/>
        </w:rPr>
        <w:t>.</w:t>
      </w:r>
      <w:r w:rsidR="003241B7">
        <w:rPr>
          <w:rFonts w:ascii="FrankRuehl" w:hAnsi="FrankRuehl" w:cs="FrankRuehl" w:hint="cs"/>
          <w:noProof w:val="0"/>
          <w:sz w:val="26"/>
          <w:szCs w:val="26"/>
          <w:rtl/>
        </w:rPr>
        <w:t xml:space="preserve"> יתירה מזו, מר ר</w:t>
      </w:r>
      <w:r w:rsidR="008A22F5">
        <w:rPr>
          <w:rFonts w:ascii="FrankRuehl" w:hAnsi="FrankRuehl" w:cs="FrankRuehl" w:hint="cs"/>
          <w:noProof w:val="0"/>
          <w:sz w:val="26"/>
          <w:szCs w:val="26"/>
          <w:rtl/>
        </w:rPr>
        <w:t>'</w:t>
      </w:r>
      <w:r w:rsidR="003241B7">
        <w:rPr>
          <w:rFonts w:ascii="FrankRuehl" w:hAnsi="FrankRuehl" w:cs="FrankRuehl" w:hint="cs"/>
          <w:noProof w:val="0"/>
          <w:sz w:val="26"/>
          <w:szCs w:val="26"/>
          <w:rtl/>
        </w:rPr>
        <w:t xml:space="preserve"> </w:t>
      </w:r>
      <w:r w:rsidR="004740BE">
        <w:rPr>
          <w:rFonts w:ascii="FrankRuehl" w:hAnsi="FrankRuehl" w:cs="FrankRuehl" w:hint="cs"/>
          <w:noProof w:val="0"/>
          <w:sz w:val="26"/>
          <w:szCs w:val="26"/>
          <w:rtl/>
        </w:rPr>
        <w:t>העיד, שהתובע שלח לו טיוטה של ההסכם (עמ' 59 שו' 2-6), ו</w:t>
      </w:r>
      <w:r w:rsidR="003241B7">
        <w:rPr>
          <w:rFonts w:ascii="FrankRuehl" w:hAnsi="FrankRuehl" w:cs="FrankRuehl" w:hint="cs"/>
          <w:noProof w:val="0"/>
          <w:sz w:val="26"/>
          <w:szCs w:val="26"/>
          <w:rtl/>
        </w:rPr>
        <w:t xml:space="preserve">הצהיר </w:t>
      </w:r>
      <w:r w:rsidR="004740BE">
        <w:rPr>
          <w:rFonts w:ascii="FrankRuehl" w:hAnsi="FrankRuehl" w:cs="FrankRuehl" w:hint="cs"/>
          <w:noProof w:val="0"/>
          <w:sz w:val="26"/>
          <w:szCs w:val="26"/>
          <w:rtl/>
        </w:rPr>
        <w:t>(סעיף 8 לתצהירו), שהתובע שלח לו את הסרטון ה</w:t>
      </w:r>
      <w:r w:rsidR="0025639D">
        <w:rPr>
          <w:rFonts w:ascii="FrankRuehl" w:hAnsi="FrankRuehl" w:cs="FrankRuehl" w:hint="cs"/>
          <w:noProof w:val="0"/>
          <w:sz w:val="26"/>
          <w:szCs w:val="26"/>
          <w:rtl/>
        </w:rPr>
        <w:t>ווידאו</w:t>
      </w:r>
      <w:r w:rsidR="004740BE">
        <w:rPr>
          <w:rFonts w:ascii="FrankRuehl" w:hAnsi="FrankRuehl" w:cs="FrankRuehl" w:hint="cs"/>
          <w:noProof w:val="0"/>
          <w:sz w:val="26"/>
          <w:szCs w:val="26"/>
          <w:rtl/>
        </w:rPr>
        <w:t>, שמנציח את מעמד החתימה. גם פעולות אלה מעידות על הסכם רציני ומחייב.</w:t>
      </w:r>
    </w:p>
    <w:p w:rsidR="00233489" w:rsidRDefault="00233489" w:rsidP="00233489">
      <w:pPr>
        <w:spacing w:after="240" w:line="360" w:lineRule="auto"/>
        <w:jc w:val="both"/>
        <w:rPr>
          <w:rFonts w:ascii="FrankRuehl" w:hAnsi="FrankRuehl" w:cs="FrankRuehl"/>
          <w:noProof w:val="0"/>
          <w:sz w:val="26"/>
          <w:szCs w:val="26"/>
          <w:rtl/>
        </w:rPr>
      </w:pPr>
    </w:p>
    <w:p w:rsidR="00233489" w:rsidRPr="00233489" w:rsidRDefault="00233489" w:rsidP="00233489">
      <w:pPr>
        <w:spacing w:after="240" w:line="360" w:lineRule="auto"/>
        <w:jc w:val="both"/>
        <w:rPr>
          <w:rFonts w:ascii="FrankRuehl" w:hAnsi="FrankRuehl" w:cs="FrankRuehl"/>
          <w:noProof w:val="0"/>
          <w:sz w:val="26"/>
          <w:szCs w:val="26"/>
        </w:rPr>
      </w:pPr>
    </w:p>
    <w:p w:rsidR="001E2197" w:rsidRDefault="0073027C" w:rsidP="001E2197">
      <w:pPr>
        <w:pStyle w:val="ad"/>
        <w:numPr>
          <w:ilvl w:val="0"/>
          <w:numId w:val="1"/>
        </w:numPr>
        <w:spacing w:after="240" w:line="360" w:lineRule="auto"/>
        <w:contextualSpacing w:val="0"/>
        <w:jc w:val="both"/>
        <w:rPr>
          <w:rFonts w:ascii="FrankRuehl" w:hAnsi="FrankRuehl" w:cs="FrankRuehl"/>
          <w:noProof w:val="0"/>
          <w:sz w:val="26"/>
          <w:szCs w:val="26"/>
        </w:rPr>
      </w:pPr>
      <w:r>
        <w:rPr>
          <w:rFonts w:ascii="FrankRuehl" w:hAnsi="FrankRuehl" w:cs="FrankRuehl" w:hint="cs"/>
          <w:noProof w:val="0"/>
          <w:sz w:val="26"/>
          <w:szCs w:val="26"/>
          <w:rtl/>
        </w:rPr>
        <w:lastRenderedPageBreak/>
        <w:t xml:space="preserve">אשר לכינויי </w:t>
      </w:r>
      <w:r w:rsidR="00054A05">
        <w:rPr>
          <w:rFonts w:ascii="FrankRuehl" w:hAnsi="FrankRuehl" w:cs="FrankRuehl" w:hint="cs"/>
          <w:noProof w:val="0"/>
          <w:sz w:val="26"/>
          <w:szCs w:val="26"/>
          <w:rtl/>
        </w:rPr>
        <w:t xml:space="preserve">הצדדים </w:t>
      </w:r>
      <w:r w:rsidR="001E2197">
        <w:rPr>
          <w:rFonts w:ascii="FrankRuehl" w:hAnsi="FrankRuehl" w:cs="FrankRuehl" w:hint="cs"/>
          <w:noProof w:val="0"/>
          <w:sz w:val="26"/>
          <w:szCs w:val="26"/>
          <w:rtl/>
        </w:rPr>
        <w:t>ב</w:t>
      </w:r>
      <w:r w:rsidR="00054A05">
        <w:rPr>
          <w:rFonts w:ascii="FrankRuehl" w:hAnsi="FrankRuehl" w:cs="FrankRuehl" w:hint="cs"/>
          <w:noProof w:val="0"/>
          <w:sz w:val="26"/>
          <w:szCs w:val="26"/>
          <w:rtl/>
        </w:rPr>
        <w:t>הסכם</w:t>
      </w:r>
      <w:r>
        <w:rPr>
          <w:rFonts w:ascii="FrankRuehl" w:hAnsi="FrankRuehl" w:cs="FrankRuehl" w:hint="cs"/>
          <w:noProof w:val="0"/>
          <w:sz w:val="26"/>
          <w:szCs w:val="26"/>
          <w:rtl/>
        </w:rPr>
        <w:t xml:space="preserve"> </w:t>
      </w:r>
      <w:r>
        <w:rPr>
          <w:rFonts w:ascii="FrankRuehl" w:hAnsi="FrankRuehl" w:cs="FrankRuehl"/>
          <w:noProof w:val="0"/>
          <w:sz w:val="26"/>
          <w:szCs w:val="26"/>
          <w:rtl/>
        </w:rPr>
        <w:t>–</w:t>
      </w:r>
      <w:r>
        <w:rPr>
          <w:rFonts w:ascii="FrankRuehl" w:hAnsi="FrankRuehl" w:cs="FrankRuehl" w:hint="cs"/>
          <w:noProof w:val="0"/>
          <w:sz w:val="26"/>
          <w:szCs w:val="26"/>
          <w:rtl/>
        </w:rPr>
        <w:t xml:space="preserve"> אמנם מדובר</w:t>
      </w:r>
      <w:r w:rsidR="00054A05">
        <w:rPr>
          <w:rFonts w:ascii="FrankRuehl" w:hAnsi="FrankRuehl" w:cs="FrankRuehl" w:hint="cs"/>
          <w:noProof w:val="0"/>
          <w:sz w:val="26"/>
          <w:szCs w:val="26"/>
          <w:rtl/>
        </w:rPr>
        <w:t xml:space="preserve"> בכינויים </w:t>
      </w:r>
      <w:r w:rsidR="0025639D">
        <w:rPr>
          <w:rFonts w:ascii="FrankRuehl" w:hAnsi="FrankRuehl" w:cs="FrankRuehl" w:hint="cs"/>
          <w:noProof w:val="0"/>
          <w:sz w:val="26"/>
          <w:szCs w:val="26"/>
          <w:rtl/>
        </w:rPr>
        <w:t xml:space="preserve">הומוריסטיים, </w:t>
      </w:r>
      <w:r w:rsidR="00054A05">
        <w:rPr>
          <w:rFonts w:ascii="FrankRuehl" w:hAnsi="FrankRuehl" w:cs="FrankRuehl" w:hint="cs"/>
          <w:noProof w:val="0"/>
          <w:sz w:val="26"/>
          <w:szCs w:val="26"/>
          <w:rtl/>
        </w:rPr>
        <w:t>לא פורמליים</w:t>
      </w:r>
      <w:r w:rsidR="0025639D">
        <w:rPr>
          <w:rFonts w:ascii="FrankRuehl" w:hAnsi="FrankRuehl" w:cs="FrankRuehl" w:hint="cs"/>
          <w:noProof w:val="0"/>
          <w:sz w:val="26"/>
          <w:szCs w:val="26"/>
          <w:rtl/>
        </w:rPr>
        <w:t>. עם זאת</w:t>
      </w:r>
      <w:r w:rsidR="00054A05">
        <w:rPr>
          <w:rFonts w:ascii="FrankRuehl" w:hAnsi="FrankRuehl" w:cs="FrankRuehl" w:hint="cs"/>
          <w:noProof w:val="0"/>
          <w:sz w:val="26"/>
          <w:szCs w:val="26"/>
          <w:rtl/>
        </w:rPr>
        <w:t xml:space="preserve">, הצדדים </w:t>
      </w:r>
      <w:r w:rsidR="0025639D">
        <w:rPr>
          <w:rFonts w:ascii="FrankRuehl" w:hAnsi="FrankRuehl" w:cs="FrankRuehl" w:hint="cs"/>
          <w:noProof w:val="0"/>
          <w:sz w:val="26"/>
          <w:szCs w:val="26"/>
          <w:rtl/>
        </w:rPr>
        <w:t xml:space="preserve">היו </w:t>
      </w:r>
      <w:r w:rsidR="00054A05">
        <w:rPr>
          <w:rFonts w:ascii="FrankRuehl" w:hAnsi="FrankRuehl" w:cs="FrankRuehl" w:hint="cs"/>
          <w:noProof w:val="0"/>
          <w:sz w:val="26"/>
          <w:szCs w:val="26"/>
          <w:rtl/>
        </w:rPr>
        <w:t>בני זוג</w:t>
      </w:r>
      <w:r w:rsidR="00806FF2">
        <w:rPr>
          <w:rFonts w:ascii="FrankRuehl" w:hAnsi="FrankRuehl" w:cs="FrankRuehl" w:hint="cs"/>
          <w:noProof w:val="0"/>
          <w:sz w:val="26"/>
          <w:szCs w:val="26"/>
          <w:rtl/>
        </w:rPr>
        <w:t xml:space="preserve"> </w:t>
      </w:r>
      <w:r w:rsidR="0025639D">
        <w:rPr>
          <w:rFonts w:ascii="FrankRuehl" w:hAnsi="FrankRuehl" w:cs="FrankRuehl" w:hint="cs"/>
          <w:noProof w:val="0"/>
          <w:sz w:val="26"/>
          <w:szCs w:val="26"/>
          <w:rtl/>
        </w:rPr>
        <w:t>אוהבים ולא צדדים זרים ל</w:t>
      </w:r>
      <w:r w:rsidR="00054A05">
        <w:rPr>
          <w:rFonts w:ascii="FrankRuehl" w:hAnsi="FrankRuehl" w:cs="FrankRuehl" w:hint="cs"/>
          <w:noProof w:val="0"/>
          <w:sz w:val="26"/>
          <w:szCs w:val="26"/>
          <w:rtl/>
        </w:rPr>
        <w:t>חוזה מסחרי.</w:t>
      </w:r>
      <w:r w:rsidR="0025639D">
        <w:rPr>
          <w:rFonts w:ascii="FrankRuehl" w:hAnsi="FrankRuehl" w:cs="FrankRuehl" w:hint="cs"/>
          <w:noProof w:val="0"/>
          <w:sz w:val="26"/>
          <w:szCs w:val="26"/>
          <w:rtl/>
        </w:rPr>
        <w:t xml:space="preserve"> בנסיבות אלה, על רקע הראיות המהותיות באשר ל</w:t>
      </w:r>
      <w:r w:rsidR="001E2197">
        <w:rPr>
          <w:rFonts w:ascii="FrankRuehl" w:hAnsi="FrankRuehl" w:cs="FrankRuehl" w:hint="cs"/>
          <w:noProof w:val="0"/>
          <w:sz w:val="26"/>
          <w:szCs w:val="26"/>
          <w:rtl/>
        </w:rPr>
        <w:t>רצינות ההסכם ו</w:t>
      </w:r>
      <w:r w:rsidR="0025639D">
        <w:rPr>
          <w:rFonts w:ascii="FrankRuehl" w:hAnsi="FrankRuehl" w:cs="FrankRuehl" w:hint="cs"/>
          <w:noProof w:val="0"/>
          <w:sz w:val="26"/>
          <w:szCs w:val="26"/>
          <w:rtl/>
        </w:rPr>
        <w:t>גמירות דעתם של הצדדים</w:t>
      </w:r>
      <w:r w:rsidR="001E2197">
        <w:rPr>
          <w:rFonts w:ascii="FrankRuehl" w:hAnsi="FrankRuehl" w:cs="FrankRuehl" w:hint="cs"/>
          <w:noProof w:val="0"/>
          <w:sz w:val="26"/>
          <w:szCs w:val="26"/>
          <w:rtl/>
        </w:rPr>
        <w:t xml:space="preserve"> להתקשר בו</w:t>
      </w:r>
      <w:r w:rsidR="0025639D">
        <w:rPr>
          <w:rFonts w:ascii="FrankRuehl" w:hAnsi="FrankRuehl" w:cs="FrankRuehl" w:hint="cs"/>
          <w:noProof w:val="0"/>
          <w:sz w:val="26"/>
          <w:szCs w:val="26"/>
          <w:rtl/>
        </w:rPr>
        <w:t xml:space="preserve">, </w:t>
      </w:r>
      <w:r w:rsidR="001E2197">
        <w:rPr>
          <w:rFonts w:ascii="FrankRuehl" w:hAnsi="FrankRuehl" w:cs="FrankRuehl" w:hint="cs"/>
          <w:noProof w:val="0"/>
          <w:sz w:val="26"/>
          <w:szCs w:val="26"/>
          <w:rtl/>
        </w:rPr>
        <w:t>אינני סבור שיש לכינויים האמורים משקל ראייתי נכבד.</w:t>
      </w:r>
    </w:p>
    <w:p w:rsidR="000233D2" w:rsidRDefault="000233D2" w:rsidP="008A22F5">
      <w:pPr>
        <w:pStyle w:val="ad"/>
        <w:numPr>
          <w:ilvl w:val="0"/>
          <w:numId w:val="1"/>
        </w:numPr>
        <w:spacing w:after="240" w:line="360" w:lineRule="auto"/>
        <w:contextualSpacing w:val="0"/>
        <w:jc w:val="both"/>
        <w:rPr>
          <w:rFonts w:ascii="FrankRuehl" w:hAnsi="FrankRuehl" w:cs="FrankRuehl"/>
          <w:noProof w:val="0"/>
          <w:sz w:val="26"/>
          <w:szCs w:val="26"/>
        </w:rPr>
      </w:pPr>
      <w:r>
        <w:rPr>
          <w:rFonts w:ascii="FrankRuehl" w:hAnsi="FrankRuehl" w:cs="FrankRuehl" w:hint="cs"/>
          <w:noProof w:val="0"/>
          <w:sz w:val="26"/>
          <w:szCs w:val="26"/>
          <w:rtl/>
        </w:rPr>
        <w:t xml:space="preserve">טענת הנתבעת, לפיה הצדדים הקפידו על הפרדה רכושית, לא נושאת עמה משקל רב. נהפוך הוא, </w:t>
      </w:r>
      <w:r w:rsidR="001E2197">
        <w:rPr>
          <w:rFonts w:ascii="FrankRuehl" w:hAnsi="FrankRuehl" w:cs="FrankRuehl" w:hint="cs"/>
          <w:noProof w:val="0"/>
          <w:sz w:val="26"/>
          <w:szCs w:val="26"/>
          <w:rtl/>
        </w:rPr>
        <w:t>ההסכם נועד למנוע מחלוק</w:t>
      </w:r>
      <w:r w:rsidR="005D1F90">
        <w:rPr>
          <w:rFonts w:ascii="FrankRuehl" w:hAnsi="FrankRuehl" w:cs="FrankRuehl" w:hint="cs"/>
          <w:noProof w:val="0"/>
          <w:sz w:val="26"/>
          <w:szCs w:val="26"/>
          <w:rtl/>
        </w:rPr>
        <w:t>ת</w:t>
      </w:r>
      <w:r w:rsidR="000E22BE">
        <w:rPr>
          <w:rFonts w:ascii="FrankRuehl" w:hAnsi="FrankRuehl" w:cs="FrankRuehl" w:hint="cs"/>
          <w:noProof w:val="0"/>
          <w:sz w:val="26"/>
          <w:szCs w:val="26"/>
          <w:rtl/>
        </w:rPr>
        <w:t>,</w:t>
      </w:r>
      <w:r w:rsidR="005D1F90">
        <w:rPr>
          <w:rFonts w:ascii="FrankRuehl" w:hAnsi="FrankRuehl" w:cs="FrankRuehl" w:hint="cs"/>
          <w:noProof w:val="0"/>
          <w:sz w:val="26"/>
          <w:szCs w:val="26"/>
          <w:rtl/>
        </w:rPr>
        <w:t xml:space="preserve"> </w:t>
      </w:r>
      <w:r w:rsidR="001E2197">
        <w:rPr>
          <w:rFonts w:ascii="FrankRuehl" w:hAnsi="FrankRuehl" w:cs="FrankRuehl" w:hint="cs"/>
          <w:noProof w:val="0"/>
          <w:sz w:val="26"/>
          <w:szCs w:val="26"/>
          <w:rtl/>
        </w:rPr>
        <w:t xml:space="preserve">דווקא כאשר רכוש נרשם או מנוהל על שם אחד הצדדים. </w:t>
      </w:r>
      <w:r w:rsidR="005D1F90">
        <w:rPr>
          <w:rFonts w:ascii="FrankRuehl" w:hAnsi="FrankRuehl" w:cs="FrankRuehl" w:hint="cs"/>
          <w:noProof w:val="0"/>
          <w:sz w:val="26"/>
          <w:szCs w:val="26"/>
          <w:rtl/>
        </w:rPr>
        <w:t xml:space="preserve">יתירה מזו, </w:t>
      </w:r>
      <w:r w:rsidR="00FF7FF7">
        <w:rPr>
          <w:rFonts w:ascii="FrankRuehl" w:hAnsi="FrankRuehl" w:cs="FrankRuehl" w:hint="cs"/>
          <w:noProof w:val="0"/>
          <w:sz w:val="26"/>
          <w:szCs w:val="26"/>
          <w:rtl/>
        </w:rPr>
        <w:t>נחה דעתי,</w:t>
      </w:r>
      <w:r w:rsidR="005D1F90">
        <w:rPr>
          <w:rFonts w:ascii="FrankRuehl" w:hAnsi="FrankRuehl" w:cs="FrankRuehl" w:hint="cs"/>
          <w:noProof w:val="0"/>
          <w:sz w:val="26"/>
          <w:szCs w:val="26"/>
          <w:rtl/>
        </w:rPr>
        <w:t xml:space="preserve"> שסביבת העסקים בסינגפור</w:t>
      </w:r>
      <w:r w:rsidR="001E2197">
        <w:rPr>
          <w:rFonts w:ascii="FrankRuehl" w:hAnsi="FrankRuehl" w:cs="FrankRuehl" w:hint="cs"/>
          <w:noProof w:val="0"/>
          <w:sz w:val="26"/>
          <w:szCs w:val="26"/>
          <w:rtl/>
        </w:rPr>
        <w:t>, לרבות הקשרים עם אנשי עסקים ממוצא סיני,</w:t>
      </w:r>
      <w:r w:rsidR="005D1F90">
        <w:rPr>
          <w:rFonts w:ascii="FrankRuehl" w:hAnsi="FrankRuehl" w:cs="FrankRuehl" w:hint="cs"/>
          <w:noProof w:val="0"/>
          <w:sz w:val="26"/>
          <w:szCs w:val="26"/>
          <w:rtl/>
        </w:rPr>
        <w:t xml:space="preserve"> הקלה על הנתבעת להיות בחזית</w:t>
      </w:r>
      <w:r w:rsidR="001E2197">
        <w:rPr>
          <w:rFonts w:ascii="FrankRuehl" w:hAnsi="FrankRuehl" w:cs="FrankRuehl" w:hint="cs"/>
          <w:noProof w:val="0"/>
          <w:sz w:val="26"/>
          <w:szCs w:val="26"/>
          <w:rtl/>
        </w:rPr>
        <w:t xml:space="preserve"> דווקא</w:t>
      </w:r>
      <w:r w:rsidR="005D1F90">
        <w:rPr>
          <w:rFonts w:ascii="FrankRuehl" w:hAnsi="FrankRuehl" w:cs="FrankRuehl" w:hint="cs"/>
          <w:noProof w:val="0"/>
          <w:sz w:val="26"/>
          <w:szCs w:val="26"/>
          <w:rtl/>
        </w:rPr>
        <w:t>, כפי שהעיד התובע (עמ' 170 שו' 14-22</w:t>
      </w:r>
      <w:r w:rsidR="00E6755F">
        <w:rPr>
          <w:rFonts w:ascii="FrankRuehl" w:hAnsi="FrankRuehl" w:cs="FrankRuehl" w:hint="cs"/>
          <w:noProof w:val="0"/>
          <w:sz w:val="26"/>
          <w:szCs w:val="26"/>
          <w:rtl/>
        </w:rPr>
        <w:t>, עמ' 171 שו' 10-13</w:t>
      </w:r>
      <w:r w:rsidR="005D1F90">
        <w:rPr>
          <w:rFonts w:ascii="FrankRuehl" w:hAnsi="FrankRuehl" w:cs="FrankRuehl" w:hint="cs"/>
          <w:noProof w:val="0"/>
          <w:sz w:val="26"/>
          <w:szCs w:val="26"/>
          <w:rtl/>
        </w:rPr>
        <w:t xml:space="preserve">). </w:t>
      </w:r>
      <w:r w:rsidR="00FF7FF7">
        <w:rPr>
          <w:rFonts w:ascii="FrankRuehl" w:hAnsi="FrankRuehl" w:cs="FrankRuehl" w:hint="cs"/>
          <w:noProof w:val="0"/>
          <w:sz w:val="26"/>
          <w:szCs w:val="26"/>
          <w:rtl/>
        </w:rPr>
        <w:t xml:space="preserve">הנתבעת </w:t>
      </w:r>
      <w:r w:rsidR="00D2335D">
        <w:rPr>
          <w:rFonts w:ascii="FrankRuehl" w:hAnsi="FrankRuehl" w:cs="FrankRuehl" w:hint="cs"/>
          <w:noProof w:val="0"/>
          <w:sz w:val="26"/>
          <w:szCs w:val="26"/>
          <w:rtl/>
        </w:rPr>
        <w:t>הודתה, ש</w:t>
      </w:r>
      <w:r w:rsidR="00FF7FF7">
        <w:rPr>
          <w:rFonts w:ascii="FrankRuehl" w:hAnsi="FrankRuehl" w:cs="FrankRuehl" w:hint="cs"/>
          <w:noProof w:val="0"/>
          <w:sz w:val="26"/>
          <w:szCs w:val="26"/>
          <w:rtl/>
        </w:rPr>
        <w:t>ייתכן שאמרה לפרופ' י</w:t>
      </w:r>
      <w:r w:rsidR="008A22F5">
        <w:rPr>
          <w:rFonts w:ascii="FrankRuehl" w:hAnsi="FrankRuehl" w:cs="FrankRuehl" w:hint="cs"/>
          <w:noProof w:val="0"/>
          <w:sz w:val="26"/>
          <w:szCs w:val="26"/>
          <w:rtl/>
        </w:rPr>
        <w:t>'</w:t>
      </w:r>
      <w:r w:rsidR="00FF7FF7">
        <w:rPr>
          <w:rFonts w:ascii="FrankRuehl" w:hAnsi="FrankRuehl" w:cs="FrankRuehl" w:hint="cs"/>
          <w:noProof w:val="0"/>
          <w:sz w:val="26"/>
          <w:szCs w:val="26"/>
          <w:rtl/>
        </w:rPr>
        <w:t xml:space="preserve">, </w:t>
      </w:r>
      <w:r w:rsidR="001E2197">
        <w:rPr>
          <w:rFonts w:ascii="FrankRuehl" w:hAnsi="FrankRuehl" w:cs="FrankRuehl" w:hint="cs"/>
          <w:noProof w:val="0"/>
          <w:sz w:val="26"/>
          <w:szCs w:val="26"/>
          <w:rtl/>
        </w:rPr>
        <w:t xml:space="preserve">איש עסקים שסייע לצדדים בתחילת דרכם בסינגפור, </w:t>
      </w:r>
      <w:r w:rsidR="00FF7FF7">
        <w:rPr>
          <w:rFonts w:ascii="FrankRuehl" w:hAnsi="FrankRuehl" w:cs="FrankRuehl" w:hint="cs"/>
          <w:noProof w:val="0"/>
          <w:sz w:val="26"/>
          <w:szCs w:val="26"/>
          <w:rtl/>
        </w:rPr>
        <w:t xml:space="preserve">שהיא עובדת בחזית חברת </w:t>
      </w:r>
      <w:r w:rsidR="00FF7FF7" w:rsidRPr="00FF7FF7">
        <w:rPr>
          <w:rFonts w:ascii="FrankRuehl" w:hAnsi="FrankRuehl" w:cs="FrankRuehl" w:hint="cs"/>
          <w:noProof w:val="0"/>
          <w:sz w:val="22"/>
          <w:szCs w:val="22"/>
        </w:rPr>
        <w:t>SG</w:t>
      </w:r>
      <w:r w:rsidR="00D2335D">
        <w:rPr>
          <w:rFonts w:ascii="FrankRuehl" w:hAnsi="FrankRuehl" w:cs="FrankRuehl" w:hint="cs"/>
          <w:noProof w:val="0"/>
          <w:sz w:val="26"/>
          <w:szCs w:val="26"/>
          <w:rtl/>
        </w:rPr>
        <w:t>,</w:t>
      </w:r>
      <w:r w:rsidR="00FF7FF7">
        <w:rPr>
          <w:rFonts w:ascii="FrankRuehl" w:hAnsi="FrankRuehl" w:cs="FrankRuehl" w:hint="cs"/>
          <w:noProof w:val="0"/>
          <w:sz w:val="26"/>
          <w:szCs w:val="26"/>
          <w:rtl/>
        </w:rPr>
        <w:t xml:space="preserve"> בעוד התובע הוא מאחורי הקלעים (עמ' 234 שו' 10). </w:t>
      </w:r>
      <w:r w:rsidR="005D1F90">
        <w:rPr>
          <w:rFonts w:ascii="FrankRuehl" w:hAnsi="FrankRuehl" w:cs="FrankRuehl" w:hint="cs"/>
          <w:noProof w:val="0"/>
          <w:sz w:val="26"/>
          <w:szCs w:val="26"/>
          <w:rtl/>
        </w:rPr>
        <w:t>גם התנהלות הצדדים בפועל לא עולה בקנה אחד עם טענת ההפרדה הרכושית</w:t>
      </w:r>
      <w:r w:rsidR="00D2335D">
        <w:rPr>
          <w:rFonts w:ascii="FrankRuehl" w:hAnsi="FrankRuehl" w:cs="FrankRuehl" w:hint="cs"/>
          <w:noProof w:val="0"/>
          <w:sz w:val="26"/>
          <w:szCs w:val="26"/>
          <w:rtl/>
        </w:rPr>
        <w:t>. בכלל זה</w:t>
      </w:r>
      <w:r w:rsidR="005D1F90">
        <w:rPr>
          <w:rFonts w:ascii="FrankRuehl" w:hAnsi="FrankRuehl" w:cs="FrankRuehl" w:hint="cs"/>
          <w:noProof w:val="0"/>
          <w:sz w:val="26"/>
          <w:szCs w:val="26"/>
          <w:rtl/>
        </w:rPr>
        <w:t xml:space="preserve">, מניות חברת </w:t>
      </w:r>
      <w:r w:rsidR="005D1F90" w:rsidRPr="00EB1386">
        <w:rPr>
          <w:rFonts w:ascii="FrankRuehl" w:hAnsi="FrankRuehl" w:cs="FrankRuehl" w:hint="cs"/>
          <w:noProof w:val="0"/>
          <w:sz w:val="22"/>
          <w:szCs w:val="22"/>
        </w:rPr>
        <w:t>AM</w:t>
      </w:r>
      <w:r w:rsidR="005D1F90" w:rsidRPr="00EB1386">
        <w:rPr>
          <w:rFonts w:ascii="FrankRuehl" w:hAnsi="FrankRuehl" w:cs="FrankRuehl" w:hint="cs"/>
          <w:noProof w:val="0"/>
          <w:sz w:val="22"/>
          <w:szCs w:val="22"/>
          <w:rtl/>
        </w:rPr>
        <w:t xml:space="preserve"> </w:t>
      </w:r>
      <w:r w:rsidR="00D2335D" w:rsidRPr="00D2335D">
        <w:rPr>
          <w:rFonts w:ascii="FrankRuehl" w:hAnsi="FrankRuehl" w:cs="FrankRuehl" w:hint="cs"/>
          <w:noProof w:val="0"/>
          <w:sz w:val="26"/>
          <w:szCs w:val="26"/>
          <w:rtl/>
        </w:rPr>
        <w:t>נרשמו</w:t>
      </w:r>
      <w:r w:rsidR="00D2335D">
        <w:rPr>
          <w:rFonts w:ascii="FrankRuehl" w:hAnsi="FrankRuehl" w:cs="FrankRuehl" w:hint="cs"/>
          <w:noProof w:val="0"/>
          <w:sz w:val="22"/>
          <w:szCs w:val="22"/>
          <w:rtl/>
        </w:rPr>
        <w:t xml:space="preserve"> </w:t>
      </w:r>
      <w:r w:rsidR="005D1F90">
        <w:rPr>
          <w:rFonts w:ascii="FrankRuehl" w:hAnsi="FrankRuehl" w:cs="FrankRuehl" w:hint="cs"/>
          <w:noProof w:val="0"/>
          <w:sz w:val="26"/>
          <w:szCs w:val="26"/>
          <w:rtl/>
        </w:rPr>
        <w:t xml:space="preserve">על שם שני הצדדים, </w:t>
      </w:r>
      <w:r w:rsidR="00D2335D">
        <w:rPr>
          <w:rFonts w:ascii="FrankRuehl" w:hAnsi="FrankRuehl" w:cs="FrankRuehl" w:hint="cs"/>
          <w:noProof w:val="0"/>
          <w:sz w:val="26"/>
          <w:szCs w:val="26"/>
          <w:rtl/>
        </w:rPr>
        <w:t>ה</w:t>
      </w:r>
      <w:r w:rsidR="005D1F90">
        <w:rPr>
          <w:rFonts w:ascii="FrankRuehl" w:hAnsi="FrankRuehl" w:cs="FrankRuehl" w:hint="cs"/>
          <w:noProof w:val="0"/>
          <w:sz w:val="26"/>
          <w:szCs w:val="26"/>
          <w:rtl/>
        </w:rPr>
        <w:t xml:space="preserve">בית בארצות הברית </w:t>
      </w:r>
      <w:r w:rsidR="00D2335D">
        <w:rPr>
          <w:rFonts w:ascii="FrankRuehl" w:hAnsi="FrankRuehl" w:cs="FrankRuehl" w:hint="cs"/>
          <w:noProof w:val="0"/>
          <w:sz w:val="26"/>
          <w:szCs w:val="26"/>
          <w:rtl/>
        </w:rPr>
        <w:t xml:space="preserve">נרשם </w:t>
      </w:r>
      <w:r w:rsidR="005D1F90">
        <w:rPr>
          <w:rFonts w:ascii="FrankRuehl" w:hAnsi="FrankRuehl" w:cs="FrankRuehl" w:hint="cs"/>
          <w:noProof w:val="0"/>
          <w:sz w:val="26"/>
          <w:szCs w:val="26"/>
          <w:rtl/>
        </w:rPr>
        <w:t xml:space="preserve">על שם שניהם, </w:t>
      </w:r>
      <w:r w:rsidR="00D2335D">
        <w:rPr>
          <w:rFonts w:ascii="FrankRuehl" w:hAnsi="FrankRuehl" w:cs="FrankRuehl" w:hint="cs"/>
          <w:noProof w:val="0"/>
          <w:sz w:val="26"/>
          <w:szCs w:val="26"/>
          <w:rtl/>
        </w:rPr>
        <w:t>חשבון הנתבעת שימש גם ל</w:t>
      </w:r>
      <w:r w:rsidR="005D1F90">
        <w:rPr>
          <w:rFonts w:ascii="FrankRuehl" w:hAnsi="FrankRuehl" w:cs="FrankRuehl" w:hint="cs"/>
          <w:noProof w:val="0"/>
          <w:sz w:val="26"/>
          <w:szCs w:val="26"/>
          <w:rtl/>
        </w:rPr>
        <w:t xml:space="preserve">צרכי התובע </w:t>
      </w:r>
      <w:r w:rsidR="00E6755F">
        <w:rPr>
          <w:rFonts w:ascii="FrankRuehl" w:hAnsi="FrankRuehl" w:cs="FrankRuehl" w:hint="cs"/>
          <w:noProof w:val="0"/>
          <w:sz w:val="26"/>
          <w:szCs w:val="26"/>
          <w:rtl/>
        </w:rPr>
        <w:t>(סעיף 33 לתצהיר הנתבעת)</w:t>
      </w:r>
      <w:r w:rsidR="00D2335D">
        <w:rPr>
          <w:rFonts w:ascii="FrankRuehl" w:hAnsi="FrankRuehl" w:cs="FrankRuehl" w:hint="cs"/>
          <w:noProof w:val="0"/>
          <w:sz w:val="26"/>
          <w:szCs w:val="26"/>
          <w:rtl/>
        </w:rPr>
        <w:t>, ולימים הם פעלו להפוך את החשבון למשותף</w:t>
      </w:r>
      <w:r w:rsidR="001534DB">
        <w:rPr>
          <w:rFonts w:ascii="FrankRuehl" w:hAnsi="FrankRuehl" w:cs="FrankRuehl" w:hint="cs"/>
          <w:noProof w:val="0"/>
          <w:sz w:val="26"/>
          <w:szCs w:val="26"/>
          <w:rtl/>
        </w:rPr>
        <w:t xml:space="preserve"> (לאחר שהופקדה בו תמורת מניות חברת </w:t>
      </w:r>
      <w:r w:rsidR="001534DB" w:rsidRPr="001534DB">
        <w:rPr>
          <w:rFonts w:ascii="FrankRuehl" w:hAnsi="FrankRuehl" w:cs="FrankRuehl" w:hint="cs"/>
          <w:noProof w:val="0"/>
          <w:sz w:val="22"/>
          <w:szCs w:val="22"/>
        </w:rPr>
        <w:t>SG</w:t>
      </w:r>
      <w:r w:rsidR="001534DB">
        <w:rPr>
          <w:rFonts w:ascii="FrankRuehl" w:hAnsi="FrankRuehl" w:cs="FrankRuehl" w:hint="cs"/>
          <w:noProof w:val="0"/>
          <w:sz w:val="26"/>
          <w:szCs w:val="26"/>
          <w:rtl/>
        </w:rPr>
        <w:t>!)</w:t>
      </w:r>
      <w:r w:rsidR="005D1F90">
        <w:rPr>
          <w:rFonts w:ascii="FrankRuehl" w:hAnsi="FrankRuehl" w:cs="FrankRuehl" w:hint="cs"/>
          <w:noProof w:val="0"/>
          <w:sz w:val="26"/>
          <w:szCs w:val="26"/>
          <w:rtl/>
        </w:rPr>
        <w:t>.</w:t>
      </w:r>
    </w:p>
    <w:p w:rsidR="001534DB" w:rsidRDefault="000E22BE" w:rsidP="001E2197">
      <w:pPr>
        <w:pStyle w:val="ad"/>
        <w:numPr>
          <w:ilvl w:val="0"/>
          <w:numId w:val="1"/>
        </w:numPr>
        <w:spacing w:after="240" w:line="360" w:lineRule="auto"/>
        <w:contextualSpacing w:val="0"/>
        <w:jc w:val="both"/>
        <w:rPr>
          <w:rFonts w:ascii="FrankRuehl" w:hAnsi="FrankRuehl" w:cs="FrankRuehl"/>
          <w:noProof w:val="0"/>
          <w:sz w:val="26"/>
          <w:szCs w:val="26"/>
        </w:rPr>
      </w:pPr>
      <w:r>
        <w:rPr>
          <w:rFonts w:ascii="FrankRuehl" w:hAnsi="FrankRuehl" w:cs="FrankRuehl" w:hint="cs"/>
          <w:noProof w:val="0"/>
          <w:sz w:val="26"/>
          <w:szCs w:val="26"/>
          <w:rtl/>
        </w:rPr>
        <w:t>אף</w:t>
      </w:r>
      <w:r w:rsidR="00E4102D">
        <w:rPr>
          <w:rFonts w:ascii="FrankRuehl" w:hAnsi="FrankRuehl" w:cs="FrankRuehl" w:hint="cs"/>
          <w:noProof w:val="0"/>
          <w:sz w:val="26"/>
          <w:szCs w:val="26"/>
          <w:rtl/>
        </w:rPr>
        <w:t xml:space="preserve"> הטענה, לפיה היעדרו של ההסכם המקורי מעיד, שהצדדים לא ראו בו מסמך רציני, לא נושאת משקל רב. </w:t>
      </w:r>
      <w:r w:rsidR="000B06C8">
        <w:rPr>
          <w:rFonts w:ascii="FrankRuehl" w:hAnsi="FrankRuehl" w:cs="FrankRuehl" w:hint="cs"/>
          <w:noProof w:val="0"/>
          <w:sz w:val="26"/>
          <w:szCs w:val="26"/>
          <w:rtl/>
        </w:rPr>
        <w:t xml:space="preserve">מאחר, שאין חולק אודות אוטנטיות ההסכם וחתימתו, מחדל התובע להציג עותק מקורי, לא מכרסם במסקנה בדבר גמירות דעת הצדדים. </w:t>
      </w:r>
      <w:r w:rsidR="004C4251">
        <w:rPr>
          <w:rFonts w:ascii="FrankRuehl" w:hAnsi="FrankRuehl" w:cs="FrankRuehl" w:hint="cs"/>
          <w:noProof w:val="0"/>
          <w:sz w:val="26"/>
          <w:szCs w:val="26"/>
          <w:rtl/>
        </w:rPr>
        <w:t xml:space="preserve">לא למותר לציין את טענת התובע, לפיה </w:t>
      </w:r>
      <w:r w:rsidR="000B06C8">
        <w:rPr>
          <w:rFonts w:ascii="FrankRuehl" w:hAnsi="FrankRuehl" w:cs="FrankRuehl" w:hint="cs"/>
          <w:noProof w:val="0"/>
          <w:sz w:val="26"/>
          <w:szCs w:val="26"/>
          <w:rtl/>
        </w:rPr>
        <w:t>הנתב</w:t>
      </w:r>
      <w:r w:rsidR="004C4251">
        <w:rPr>
          <w:rFonts w:ascii="FrankRuehl" w:hAnsi="FrankRuehl" w:cs="FrankRuehl" w:hint="cs"/>
          <w:noProof w:val="0"/>
          <w:sz w:val="26"/>
          <w:szCs w:val="26"/>
          <w:rtl/>
        </w:rPr>
        <w:t>עת לקחה מדירת מגורי הצדדים מסמכים רבים (סעיף 28 לתצהירו).</w:t>
      </w:r>
    </w:p>
    <w:p w:rsidR="0073027C" w:rsidRDefault="0073027C" w:rsidP="0073027C">
      <w:pPr>
        <w:pStyle w:val="ad"/>
        <w:numPr>
          <w:ilvl w:val="0"/>
          <w:numId w:val="1"/>
        </w:numPr>
        <w:spacing w:after="240" w:line="360" w:lineRule="auto"/>
        <w:contextualSpacing w:val="0"/>
        <w:jc w:val="both"/>
        <w:rPr>
          <w:rFonts w:ascii="FrankRuehl" w:hAnsi="FrankRuehl" w:cs="FrankRuehl"/>
          <w:noProof w:val="0"/>
          <w:sz w:val="26"/>
          <w:szCs w:val="26"/>
        </w:rPr>
      </w:pPr>
      <w:r>
        <w:rPr>
          <w:rFonts w:ascii="FrankRuehl" w:hAnsi="FrankRuehl" w:cs="FrankRuehl" w:hint="cs"/>
          <w:noProof w:val="0"/>
          <w:sz w:val="26"/>
          <w:szCs w:val="26"/>
          <w:rtl/>
        </w:rPr>
        <w:t xml:space="preserve">מסקנתי עד הנה </w:t>
      </w:r>
      <w:r>
        <w:rPr>
          <w:rFonts w:ascii="FrankRuehl" w:hAnsi="FrankRuehl" w:cs="FrankRuehl"/>
          <w:noProof w:val="0"/>
          <w:sz w:val="26"/>
          <w:szCs w:val="26"/>
          <w:rtl/>
        </w:rPr>
        <w:t>–</w:t>
      </w:r>
      <w:r>
        <w:rPr>
          <w:rFonts w:ascii="FrankRuehl" w:hAnsi="FrankRuehl" w:cs="FrankRuehl" w:hint="cs"/>
          <w:noProof w:val="0"/>
          <w:sz w:val="26"/>
          <w:szCs w:val="26"/>
          <w:rtl/>
        </w:rPr>
        <w:t xml:space="preserve"> דין טענת הנתבעת, לפיה ההסכם אינו אכיף, מאחר שנעדר ממנו יסוד גמירות הדעת, להידחות. </w:t>
      </w:r>
      <w:r w:rsidR="00A97CA6">
        <w:rPr>
          <w:rFonts w:ascii="FrankRuehl" w:hAnsi="FrankRuehl" w:cs="FrankRuehl" w:hint="cs"/>
          <w:noProof w:val="0"/>
          <w:sz w:val="26"/>
          <w:szCs w:val="26"/>
          <w:rtl/>
        </w:rPr>
        <w:t>ממילא עומדת תניית השיפוט על מכונה.</w:t>
      </w:r>
    </w:p>
    <w:p w:rsidR="00003973" w:rsidRPr="005B3757" w:rsidRDefault="00806FF2" w:rsidP="00542F32">
      <w:pPr>
        <w:pStyle w:val="ad"/>
        <w:numPr>
          <w:ilvl w:val="0"/>
          <w:numId w:val="1"/>
        </w:numPr>
        <w:spacing w:after="240" w:line="360" w:lineRule="auto"/>
        <w:contextualSpacing w:val="0"/>
        <w:jc w:val="both"/>
        <w:rPr>
          <w:rFonts w:ascii="FrankRuehl" w:hAnsi="FrankRuehl" w:cs="FrankRuehl"/>
          <w:noProof w:val="0"/>
          <w:sz w:val="26"/>
          <w:szCs w:val="26"/>
        </w:rPr>
      </w:pPr>
      <w:r w:rsidRPr="005B3757">
        <w:rPr>
          <w:rFonts w:ascii="FrankRuehl" w:hAnsi="FrankRuehl" w:cs="FrankRuehl" w:hint="cs"/>
          <w:noProof w:val="0"/>
          <w:sz w:val="26"/>
          <w:szCs w:val="26"/>
          <w:rtl/>
        </w:rPr>
        <w:t>כאן אנו בא</w:t>
      </w:r>
      <w:r w:rsidR="0045686C" w:rsidRPr="005B3757">
        <w:rPr>
          <w:rFonts w:ascii="FrankRuehl" w:hAnsi="FrankRuehl" w:cs="FrankRuehl" w:hint="cs"/>
          <w:noProof w:val="0"/>
          <w:sz w:val="26"/>
          <w:szCs w:val="26"/>
          <w:rtl/>
        </w:rPr>
        <w:t xml:space="preserve">ים לשאלה, האם </w:t>
      </w:r>
      <w:r w:rsidR="00003973" w:rsidRPr="005B3757">
        <w:rPr>
          <w:rFonts w:ascii="FrankRuehl" w:hAnsi="FrankRuehl" w:cs="FrankRuehl" w:hint="cs"/>
          <w:noProof w:val="0"/>
          <w:sz w:val="26"/>
          <w:szCs w:val="26"/>
          <w:rtl/>
        </w:rPr>
        <w:t>יש מקום לקבוע, ש</w:t>
      </w:r>
      <w:r w:rsidR="0045686C" w:rsidRPr="005B3757">
        <w:rPr>
          <w:rFonts w:ascii="FrankRuehl" w:hAnsi="FrankRuehl" w:cs="FrankRuehl" w:hint="cs"/>
          <w:noProof w:val="0"/>
          <w:sz w:val="26"/>
          <w:szCs w:val="26"/>
          <w:rtl/>
        </w:rPr>
        <w:t>בית משפט זה אינו הפורום הנאות לדון בתביעה?</w:t>
      </w:r>
      <w:r w:rsidR="00D11E8B" w:rsidRPr="005B3757">
        <w:rPr>
          <w:rFonts w:ascii="FrankRuehl" w:hAnsi="FrankRuehl" w:cs="FrankRuehl" w:hint="cs"/>
          <w:noProof w:val="0"/>
          <w:sz w:val="26"/>
          <w:szCs w:val="26"/>
          <w:rtl/>
        </w:rPr>
        <w:t xml:space="preserve"> </w:t>
      </w:r>
      <w:r w:rsidR="00003973" w:rsidRPr="005B3757">
        <w:rPr>
          <w:rFonts w:ascii="FrankRuehl" w:hAnsi="FrankRuehl" w:cs="FrankRuehl" w:hint="cs"/>
          <w:noProof w:val="0"/>
          <w:sz w:val="26"/>
          <w:szCs w:val="26"/>
          <w:rtl/>
        </w:rPr>
        <w:t xml:space="preserve"> ההלכה לעניין זה </w:t>
      </w:r>
      <w:r w:rsidR="00675465" w:rsidRPr="005B3757">
        <w:rPr>
          <w:rFonts w:ascii="FrankRuehl" w:hAnsi="FrankRuehl" w:cs="FrankRuehl" w:hint="cs"/>
          <w:noProof w:val="0"/>
          <w:sz w:val="26"/>
          <w:szCs w:val="26"/>
          <w:rtl/>
        </w:rPr>
        <w:t>סוכמה</w:t>
      </w:r>
      <w:r w:rsidR="00162902" w:rsidRPr="005B3757">
        <w:rPr>
          <w:rFonts w:ascii="FrankRuehl" w:hAnsi="FrankRuehl" w:cs="FrankRuehl" w:hint="cs"/>
          <w:noProof w:val="0"/>
          <w:sz w:val="26"/>
          <w:szCs w:val="26"/>
          <w:rtl/>
        </w:rPr>
        <w:t xml:space="preserve"> </w:t>
      </w:r>
      <w:r w:rsidR="00003973" w:rsidRPr="005B3757">
        <w:rPr>
          <w:rFonts w:ascii="FrankRuehl" w:hAnsi="FrankRuehl" w:cs="FrankRuehl" w:hint="cs"/>
          <w:noProof w:val="0"/>
          <w:sz w:val="26"/>
          <w:szCs w:val="26"/>
          <w:rtl/>
        </w:rPr>
        <w:t>כלהלן:</w:t>
      </w:r>
    </w:p>
    <w:p w:rsidR="00806FF2" w:rsidRDefault="00003973" w:rsidP="00284450">
      <w:pPr>
        <w:spacing w:after="240" w:line="360" w:lineRule="auto"/>
        <w:ind w:left="567" w:right="284"/>
        <w:jc w:val="both"/>
        <w:rPr>
          <w:rFonts w:ascii="FrankRuehl" w:hAnsi="FrankRuehl" w:cs="FrankRuehl"/>
          <w:noProof w:val="0"/>
          <w:sz w:val="26"/>
          <w:szCs w:val="26"/>
          <w:rtl/>
        </w:rPr>
      </w:pPr>
      <w:r w:rsidRPr="00162902">
        <w:rPr>
          <w:rFonts w:ascii="Miriam" w:hAnsi="Miriam" w:cs="Miriam"/>
          <w:color w:val="000000"/>
          <w:sz w:val="22"/>
          <w:szCs w:val="22"/>
          <w:shd w:val="clear" w:color="auto" w:fill="FFFFFF"/>
          <w:rtl/>
        </w:rPr>
        <w:t>ככלל, יכבד בית</w:t>
      </w:r>
      <w:r w:rsidRPr="00162902">
        <w:rPr>
          <w:rFonts w:ascii="Miriam" w:hAnsi="Miriam" w:cs="Miriam"/>
          <w:color w:val="000000"/>
          <w:sz w:val="22"/>
          <w:szCs w:val="22"/>
          <w:shd w:val="clear" w:color="auto" w:fill="FFFFFF"/>
          <w:vertAlign w:val="superscript"/>
        </w:rPr>
        <w:t>-</w:t>
      </w:r>
      <w:r w:rsidRPr="00162902">
        <w:rPr>
          <w:rFonts w:ascii="Miriam" w:hAnsi="Miriam" w:cs="Miriam"/>
          <w:color w:val="000000"/>
          <w:sz w:val="22"/>
          <w:szCs w:val="22"/>
          <w:shd w:val="clear" w:color="auto" w:fill="FFFFFF"/>
          <w:rtl/>
        </w:rPr>
        <w:t>המשפט תניית שיפוט מוסכמת בין הצדדים ויפעיל את שיקול</w:t>
      </w:r>
      <w:r w:rsidRPr="00162902">
        <w:rPr>
          <w:rFonts w:ascii="Miriam" w:hAnsi="Miriam" w:cs="Miriam"/>
          <w:color w:val="000000"/>
          <w:sz w:val="22"/>
          <w:szCs w:val="22"/>
          <w:shd w:val="clear" w:color="auto" w:fill="FFFFFF"/>
          <w:vertAlign w:val="superscript"/>
        </w:rPr>
        <w:t>-</w:t>
      </w:r>
      <w:r w:rsidRPr="00162902">
        <w:rPr>
          <w:rFonts w:ascii="Miriam" w:hAnsi="Miriam" w:cs="Miriam"/>
          <w:color w:val="000000"/>
          <w:sz w:val="22"/>
          <w:szCs w:val="22"/>
          <w:shd w:val="clear" w:color="auto" w:fill="FFFFFF"/>
          <w:rtl/>
        </w:rPr>
        <w:t>דעתו להימנע מלהחיל את סמכותו במקרה שקיימת בו בין הצדדים תניית סמכות שיפוט ייחודית זרה. בית</w:t>
      </w:r>
      <w:r w:rsidRPr="00162902">
        <w:rPr>
          <w:rFonts w:ascii="Miriam" w:hAnsi="Miriam" w:cs="Miriam"/>
          <w:color w:val="000000"/>
          <w:sz w:val="22"/>
          <w:szCs w:val="22"/>
          <w:shd w:val="clear" w:color="auto" w:fill="FFFFFF"/>
          <w:vertAlign w:val="superscript"/>
        </w:rPr>
        <w:t>-</w:t>
      </w:r>
      <w:r w:rsidRPr="00162902">
        <w:rPr>
          <w:rFonts w:ascii="Miriam" w:hAnsi="Miriam" w:cs="Miriam"/>
          <w:color w:val="000000"/>
          <w:sz w:val="22"/>
          <w:szCs w:val="22"/>
          <w:shd w:val="clear" w:color="auto" w:fill="FFFFFF"/>
          <w:rtl/>
        </w:rPr>
        <w:t>המשפט נוהג כך משום שתניית השיפוט היא חלק מהסכם בין הצדדים, ואין בית</w:t>
      </w:r>
      <w:r w:rsidRPr="00162902">
        <w:rPr>
          <w:rFonts w:ascii="Miriam" w:hAnsi="Miriam" w:cs="Miriam"/>
          <w:color w:val="000000"/>
          <w:sz w:val="22"/>
          <w:szCs w:val="22"/>
          <w:shd w:val="clear" w:color="auto" w:fill="FFFFFF"/>
          <w:vertAlign w:val="superscript"/>
        </w:rPr>
        <w:t>-</w:t>
      </w:r>
      <w:r w:rsidRPr="00162902">
        <w:rPr>
          <w:rFonts w:ascii="Miriam" w:hAnsi="Miriam" w:cs="Miriam"/>
          <w:color w:val="000000"/>
          <w:sz w:val="22"/>
          <w:szCs w:val="22"/>
          <w:shd w:val="clear" w:color="auto" w:fill="FFFFFF"/>
          <w:rtl/>
        </w:rPr>
        <w:t>המשפט נותן ידו להפרת הסכמים. בית</w:t>
      </w:r>
      <w:r w:rsidRPr="00162902">
        <w:rPr>
          <w:rFonts w:ascii="Miriam" w:hAnsi="Miriam" w:cs="Miriam"/>
          <w:color w:val="000000"/>
          <w:sz w:val="22"/>
          <w:szCs w:val="22"/>
          <w:shd w:val="clear" w:color="auto" w:fill="FFFFFF"/>
          <w:vertAlign w:val="superscript"/>
        </w:rPr>
        <w:t>-</w:t>
      </w:r>
      <w:r w:rsidRPr="00162902">
        <w:rPr>
          <w:rFonts w:ascii="Miriam" w:hAnsi="Miriam" w:cs="Miriam"/>
          <w:color w:val="000000"/>
          <w:sz w:val="22"/>
          <w:szCs w:val="22"/>
          <w:shd w:val="clear" w:color="auto" w:fill="FFFFFF"/>
          <w:rtl/>
        </w:rPr>
        <w:t>המשפט יימנע מלאכוף תניית שיפוט ויורה על קיום הדיון בבית</w:t>
      </w:r>
      <w:r w:rsidRPr="00162902">
        <w:rPr>
          <w:rFonts w:ascii="Miriam" w:hAnsi="Miriam" w:cs="Miriam"/>
          <w:color w:val="000000"/>
          <w:sz w:val="22"/>
          <w:szCs w:val="22"/>
          <w:shd w:val="clear" w:color="auto" w:fill="FFFFFF"/>
          <w:vertAlign w:val="superscript"/>
        </w:rPr>
        <w:t>-</w:t>
      </w:r>
      <w:r w:rsidRPr="00162902">
        <w:rPr>
          <w:rFonts w:ascii="Miriam" w:hAnsi="Miriam" w:cs="Miriam"/>
          <w:color w:val="000000"/>
          <w:sz w:val="22"/>
          <w:szCs w:val="22"/>
          <w:shd w:val="clear" w:color="auto" w:fill="FFFFFF"/>
          <w:rtl/>
        </w:rPr>
        <w:t>משפט ישראלי אף שהצדדים הסכימו שענייניהם יידונו רק בפני בית</w:t>
      </w:r>
      <w:r w:rsidRPr="00162902">
        <w:rPr>
          <w:rFonts w:ascii="Miriam" w:hAnsi="Miriam" w:cs="Miriam"/>
          <w:color w:val="000000"/>
          <w:sz w:val="22"/>
          <w:szCs w:val="22"/>
          <w:shd w:val="clear" w:color="auto" w:fill="FFFFFF"/>
          <w:vertAlign w:val="superscript"/>
        </w:rPr>
        <w:t>-</w:t>
      </w:r>
      <w:r w:rsidRPr="00162902">
        <w:rPr>
          <w:rFonts w:ascii="Miriam" w:hAnsi="Miriam" w:cs="Miriam"/>
          <w:color w:val="000000"/>
          <w:sz w:val="22"/>
          <w:szCs w:val="22"/>
          <w:shd w:val="clear" w:color="auto" w:fill="FFFFFF"/>
          <w:rtl/>
        </w:rPr>
        <w:t>משפט זר, רק אם הטוען נגד תניית השיפוט יוכיח קיומן של נסיבות מיוחדות</w:t>
      </w:r>
      <w:r w:rsidR="00284450">
        <w:rPr>
          <w:rFonts w:ascii="FrankRuehl" w:hAnsi="FrankRuehl" w:cs="FrankRuehl" w:hint="cs"/>
          <w:color w:val="000000"/>
          <w:shd w:val="clear" w:color="auto" w:fill="FFFFFF"/>
          <w:rtl/>
        </w:rPr>
        <w:t>...</w:t>
      </w:r>
      <w:r w:rsidR="00284450" w:rsidRPr="00284450">
        <w:rPr>
          <w:rFonts w:ascii="Miriam" w:hAnsi="Miriam" w:cs="Miriam"/>
          <w:color w:val="000000"/>
          <w:sz w:val="22"/>
          <w:szCs w:val="22"/>
          <w:shd w:val="clear" w:color="auto" w:fill="FFFFFF"/>
          <w:rtl/>
        </w:rPr>
        <w:t>יש לפרש בדווקנות את המונח נסיבות מיוחדות ולייחדו למקרים חריגים בלבד</w:t>
      </w:r>
      <w:r w:rsidRPr="00003973">
        <w:rPr>
          <w:rFonts w:ascii="FrankRuehl" w:hAnsi="FrankRuehl" w:cs="FrankRuehl" w:hint="cs"/>
          <w:color w:val="000000"/>
          <w:shd w:val="clear" w:color="auto" w:fill="FFFFFF"/>
          <w:rtl/>
        </w:rPr>
        <w:t xml:space="preserve"> </w:t>
      </w:r>
      <w:r w:rsidR="00233489">
        <w:rPr>
          <w:rFonts w:ascii="FrankRuehl" w:hAnsi="FrankRuehl" w:cs="FrankRuehl"/>
          <w:color w:val="000000"/>
          <w:shd w:val="clear" w:color="auto" w:fill="FFFFFF"/>
          <w:rtl/>
        </w:rPr>
        <w:tab/>
      </w:r>
      <w:r w:rsidR="00233489">
        <w:rPr>
          <w:rFonts w:ascii="FrankRuehl" w:hAnsi="FrankRuehl" w:cs="FrankRuehl"/>
          <w:color w:val="000000"/>
          <w:shd w:val="clear" w:color="auto" w:fill="FFFFFF"/>
          <w:rtl/>
        </w:rPr>
        <w:br/>
      </w:r>
      <w:r w:rsidR="00162902">
        <w:rPr>
          <w:rFonts w:ascii="FrankRuehl" w:hAnsi="FrankRuehl" w:cs="FrankRuehl" w:hint="cs"/>
          <w:color w:val="000000"/>
          <w:shd w:val="clear" w:color="auto" w:fill="FFFFFF"/>
          <w:rtl/>
        </w:rPr>
        <w:lastRenderedPageBreak/>
        <w:t>(</w:t>
      </w:r>
      <w:r w:rsidRPr="00003973">
        <w:rPr>
          <w:rFonts w:ascii="FrankRuehl" w:hAnsi="FrankRuehl" w:cs="FrankRuehl"/>
          <w:color w:val="000000"/>
          <w:sz w:val="26"/>
          <w:szCs w:val="26"/>
          <w:rtl/>
        </w:rPr>
        <w:t xml:space="preserve">רע"א 3144/03 </w:t>
      </w:r>
      <w:r w:rsidRPr="00162902">
        <w:rPr>
          <w:rFonts w:ascii="FrankRuehl" w:hAnsi="FrankRuehl" w:cs="FrankRuehl"/>
          <w:b/>
          <w:bCs/>
          <w:color w:val="000000"/>
          <w:sz w:val="26"/>
          <w:szCs w:val="26"/>
          <w:rtl/>
        </w:rPr>
        <w:t>אלביט הדמיה רפואית בע"מ נ</w:t>
      </w:r>
      <w:r w:rsidRPr="00162902">
        <w:rPr>
          <w:rFonts w:ascii="FrankRuehl" w:hAnsi="FrankRuehl" w:cs="FrankRuehl"/>
          <w:b/>
          <w:bCs/>
          <w:color w:val="000000"/>
          <w:sz w:val="26"/>
          <w:szCs w:val="26"/>
        </w:rPr>
        <w:t xml:space="preserve">Harefuah Serviços de Saude </w:t>
      </w:r>
      <w:r>
        <w:rPr>
          <w:rFonts w:ascii="FrankRuehl" w:hAnsi="FrankRuehl" w:cs="FrankRuehl" w:hint="cs"/>
          <w:color w:val="000000"/>
          <w:sz w:val="26"/>
          <w:szCs w:val="26"/>
          <w:rtl/>
        </w:rPr>
        <w:t xml:space="preserve">, פ"ד </w:t>
      </w:r>
      <w:r w:rsidRPr="00003973">
        <w:rPr>
          <w:rFonts w:ascii="FrankRuehl" w:hAnsi="FrankRuehl" w:cs="FrankRuehl"/>
          <w:color w:val="000000"/>
          <w:sz w:val="26"/>
          <w:szCs w:val="26"/>
          <w:rtl/>
        </w:rPr>
        <w:t>נז(5) 414</w:t>
      </w:r>
      <w:r>
        <w:rPr>
          <w:rFonts w:ascii="FrankRuehl" w:hAnsi="FrankRuehl" w:cs="FrankRuehl" w:hint="cs"/>
          <w:color w:val="000000"/>
          <w:sz w:val="26"/>
          <w:szCs w:val="26"/>
          <w:rtl/>
        </w:rPr>
        <w:t xml:space="preserve">, 419 </w:t>
      </w:r>
      <w:r w:rsidRPr="00003973">
        <w:rPr>
          <w:rFonts w:ascii="FrankRuehl" w:hAnsi="FrankRuehl" w:cs="FrankRuehl"/>
          <w:color w:val="000000"/>
          <w:sz w:val="26"/>
          <w:szCs w:val="26"/>
        </w:rPr>
        <w:t>(2003)</w:t>
      </w:r>
      <w:r w:rsidR="00162902">
        <w:rPr>
          <w:rFonts w:ascii="FrankRuehl" w:hAnsi="FrankRuehl" w:cs="FrankRuehl" w:hint="cs"/>
          <w:color w:val="000000"/>
          <w:sz w:val="26"/>
          <w:szCs w:val="26"/>
          <w:rtl/>
        </w:rPr>
        <w:t>, ההפניות הושמטו. כן ר' עניין אדרת, עניין</w:t>
      </w:r>
      <w:r w:rsidR="00162902" w:rsidRPr="00162902">
        <w:rPr>
          <w:rFonts w:ascii="FrankRuehl" w:hAnsi="FrankRuehl" w:cs="FrankRuehl" w:hint="cs"/>
          <w:color w:val="000000"/>
          <w:sz w:val="26"/>
          <w:szCs w:val="26"/>
          <w:rtl/>
        </w:rPr>
        <w:t xml:space="preserve"> </w:t>
      </w:r>
      <w:r w:rsidR="00162902" w:rsidRPr="00162902">
        <w:rPr>
          <w:rFonts w:asciiTheme="minorBidi" w:hAnsiTheme="minorBidi" w:cstheme="minorBidi"/>
          <w:noProof w:val="0"/>
          <w:sz w:val="22"/>
          <w:szCs w:val="22"/>
        </w:rPr>
        <w:t>Nantucket</w:t>
      </w:r>
      <w:r w:rsidR="00162902">
        <w:rPr>
          <w:rFonts w:ascii="FrankRuehl" w:hAnsi="FrankRuehl" w:cs="FrankRuehl" w:hint="cs"/>
          <w:color w:val="000000"/>
          <w:sz w:val="26"/>
          <w:szCs w:val="26"/>
          <w:rtl/>
        </w:rPr>
        <w:t>).</w:t>
      </w:r>
    </w:p>
    <w:p w:rsidR="00675465" w:rsidRDefault="00675465" w:rsidP="00094E86">
      <w:pPr>
        <w:spacing w:after="240" w:line="360" w:lineRule="auto"/>
        <w:ind w:left="567" w:right="284"/>
        <w:jc w:val="both"/>
        <w:rPr>
          <w:rFonts w:ascii="FrankRuehl" w:hAnsi="FrankRuehl" w:cs="FrankRuehl"/>
          <w:color w:val="000000"/>
          <w:sz w:val="26"/>
          <w:szCs w:val="26"/>
          <w:rtl/>
        </w:rPr>
      </w:pPr>
      <w:r w:rsidRPr="00675465">
        <w:rPr>
          <w:rFonts w:ascii="Miriam" w:hAnsi="Miriam" w:cs="Miriam"/>
          <w:color w:val="000000"/>
          <w:sz w:val="22"/>
          <w:szCs w:val="22"/>
          <w:shd w:val="clear" w:color="auto" w:fill="FFFFFF"/>
          <w:rtl/>
        </w:rPr>
        <w:t>את המונח "נסיבות מיוחדות" המצדיקות שחרורו של בעל דין מחיוב חוזי ברור בעניין תניית שיפוט יש לפרש בצמצום</w:t>
      </w:r>
      <w:r>
        <w:rPr>
          <w:rFonts w:ascii="Miriam" w:hAnsi="Miriam" w:cs="Miriam" w:hint="cs"/>
          <w:color w:val="000000"/>
          <w:sz w:val="22"/>
          <w:szCs w:val="22"/>
          <w:shd w:val="clear" w:color="auto" w:fill="FFFFFF"/>
          <w:rtl/>
        </w:rPr>
        <w:t xml:space="preserve"> </w:t>
      </w:r>
      <w:r w:rsidRPr="00675465">
        <w:rPr>
          <w:rFonts w:ascii="FrankRuehl" w:hAnsi="FrankRuehl" w:cs="FrankRuehl" w:hint="cs"/>
          <w:color w:val="000000"/>
          <w:sz w:val="26"/>
          <w:szCs w:val="26"/>
          <w:rtl/>
        </w:rPr>
        <w:t>(</w:t>
      </w:r>
      <w:r w:rsidRPr="00675465">
        <w:rPr>
          <w:rFonts w:ascii="FrankRuehl" w:hAnsi="FrankRuehl" w:cs="FrankRuehl"/>
          <w:color w:val="000000"/>
          <w:sz w:val="26"/>
          <w:szCs w:val="26"/>
          <w:rtl/>
        </w:rPr>
        <w:t>בר"מ 2190/20</w:t>
      </w:r>
      <w:r w:rsidRPr="00094E86">
        <w:rPr>
          <w:rFonts w:ascii="FrankRuehl" w:hAnsi="FrankRuehl" w:cs="FrankRuehl"/>
          <w:b/>
          <w:bCs/>
          <w:color w:val="000000"/>
          <w:rtl/>
        </w:rPr>
        <w:t> </w:t>
      </w:r>
      <w:r w:rsidRPr="00094E86">
        <w:rPr>
          <w:rFonts w:ascii="FrankRuehl" w:hAnsi="FrankRuehl" w:cs="FrankRuehl"/>
          <w:b/>
          <w:bCs/>
          <w:color w:val="000000"/>
        </w:rPr>
        <w:t>G&amp;B Packing</w:t>
      </w:r>
      <w:r w:rsidRPr="00094E86">
        <w:rPr>
          <w:rFonts w:ascii="FrankRuehl" w:hAnsi="FrankRuehl" w:cs="FrankRuehl"/>
          <w:color w:val="000000"/>
        </w:rPr>
        <w:t xml:space="preserve"> </w:t>
      </w:r>
      <w:r w:rsidRPr="00094E86">
        <w:rPr>
          <w:rFonts w:ascii="FrankRuehl" w:hAnsi="FrankRuehl" w:cs="FrankRuehl"/>
          <w:b/>
          <w:bCs/>
          <w:color w:val="000000"/>
        </w:rPr>
        <w:t>Co</w:t>
      </w:r>
      <w:r w:rsidRPr="00094E86">
        <w:rPr>
          <w:rFonts w:ascii="FrankRuehl" w:hAnsi="FrankRuehl" w:cs="FrankRuehl" w:hint="cs"/>
          <w:b/>
          <w:bCs/>
          <w:color w:val="000000"/>
          <w:rtl/>
        </w:rPr>
        <w:t xml:space="preserve"> </w:t>
      </w:r>
      <w:r w:rsidRPr="00094E86">
        <w:rPr>
          <w:rFonts w:ascii="FrankRuehl" w:hAnsi="FrankRuehl" w:cs="FrankRuehl"/>
          <w:b/>
          <w:bCs/>
          <w:color w:val="000000"/>
          <w:rtl/>
        </w:rPr>
        <w:t>נ</w:t>
      </w:r>
      <w:r w:rsidRPr="00094E86">
        <w:rPr>
          <w:rFonts w:ascii="FrankRuehl" w:hAnsi="FrankRuehl" w:cs="FrankRuehl"/>
          <w:b/>
          <w:bCs/>
          <w:color w:val="000000"/>
        </w:rPr>
        <w:t>' Serra International, Inc</w:t>
      </w:r>
      <w:r w:rsidRPr="00675465">
        <w:rPr>
          <w:rFonts w:ascii="FrankRuehl" w:hAnsi="FrankRuehl" w:cs="FrankRuehl"/>
          <w:b/>
          <w:bCs/>
          <w:color w:val="000000"/>
          <w:sz w:val="26"/>
          <w:szCs w:val="26"/>
        </w:rPr>
        <w:t> </w:t>
      </w:r>
      <w:r>
        <w:rPr>
          <w:rFonts w:ascii="FrankRuehl" w:hAnsi="FrankRuehl" w:cs="FrankRuehl" w:hint="cs"/>
          <w:color w:val="000000"/>
          <w:sz w:val="26"/>
          <w:szCs w:val="26"/>
          <w:rtl/>
        </w:rPr>
        <w:t xml:space="preserve"> </w:t>
      </w:r>
      <w:r w:rsidRPr="00675465">
        <w:rPr>
          <w:rFonts w:ascii="FrankRuehl" w:hAnsi="FrankRuehl" w:cs="FrankRuehl"/>
          <w:color w:val="000000"/>
          <w:sz w:val="26"/>
          <w:szCs w:val="26"/>
          <w:rtl/>
        </w:rPr>
        <w:t>(25.10.2020)</w:t>
      </w:r>
      <w:r w:rsidR="00094E86">
        <w:rPr>
          <w:rFonts w:ascii="FrankRuehl" w:hAnsi="FrankRuehl" w:cs="FrankRuehl" w:hint="cs"/>
          <w:color w:val="000000"/>
          <w:sz w:val="26"/>
          <w:szCs w:val="26"/>
          <w:rtl/>
        </w:rPr>
        <w:t xml:space="preserve">, להלן: </w:t>
      </w:r>
      <w:r w:rsidR="00094E86" w:rsidRPr="00094E86">
        <w:rPr>
          <w:rFonts w:asciiTheme="minorBidi" w:hAnsiTheme="minorBidi" w:cstheme="minorBidi"/>
          <w:color w:val="000000"/>
          <w:rtl/>
        </w:rPr>
        <w:t xml:space="preserve">עניין </w:t>
      </w:r>
      <w:r w:rsidR="00094E86" w:rsidRPr="00094E86">
        <w:rPr>
          <w:rFonts w:asciiTheme="minorBidi" w:hAnsiTheme="minorBidi" w:cstheme="minorBidi"/>
          <w:color w:val="000000"/>
        </w:rPr>
        <w:t>G&amp;B</w:t>
      </w:r>
      <w:r w:rsidRPr="00675465">
        <w:rPr>
          <w:rFonts w:ascii="FrankRuehl" w:hAnsi="FrankRuehl" w:cs="FrankRuehl" w:hint="cs"/>
          <w:color w:val="000000"/>
          <w:sz w:val="26"/>
          <w:szCs w:val="26"/>
          <w:rtl/>
        </w:rPr>
        <w:t>).</w:t>
      </w:r>
    </w:p>
    <w:p w:rsidR="00675465" w:rsidRDefault="00675465" w:rsidP="003D6F7F">
      <w:pPr>
        <w:spacing w:after="240" w:line="360" w:lineRule="auto"/>
        <w:ind w:left="283" w:right="284"/>
        <w:jc w:val="both"/>
        <w:rPr>
          <w:rFonts w:ascii="FrankRuehl" w:hAnsi="FrankRuehl" w:cs="FrankRuehl"/>
          <w:color w:val="000000"/>
          <w:sz w:val="26"/>
          <w:szCs w:val="26"/>
          <w:rtl/>
        </w:rPr>
      </w:pPr>
      <w:r>
        <w:rPr>
          <w:rFonts w:ascii="FrankRuehl" w:hAnsi="FrankRuehl" w:cs="FrankRuehl" w:hint="cs"/>
          <w:color w:val="000000"/>
          <w:sz w:val="26"/>
          <w:szCs w:val="26"/>
          <w:rtl/>
        </w:rPr>
        <w:t>טענת פורום לא נאות</w:t>
      </w:r>
      <w:r w:rsidR="006C59EF">
        <w:rPr>
          <w:rFonts w:ascii="FrankRuehl" w:hAnsi="FrankRuehl" w:cs="FrankRuehl" w:hint="cs"/>
          <w:color w:val="000000"/>
          <w:sz w:val="26"/>
          <w:szCs w:val="26"/>
          <w:rtl/>
        </w:rPr>
        <w:t xml:space="preserve"> התקבלה</w:t>
      </w:r>
      <w:r>
        <w:rPr>
          <w:rFonts w:ascii="FrankRuehl" w:hAnsi="FrankRuehl" w:cs="FrankRuehl" w:hint="cs"/>
          <w:color w:val="000000"/>
          <w:sz w:val="26"/>
          <w:szCs w:val="26"/>
          <w:rtl/>
        </w:rPr>
        <w:t xml:space="preserve">, למרות תניית שיפוט ייחודית, </w:t>
      </w:r>
      <w:r w:rsidR="006C59EF">
        <w:rPr>
          <w:rFonts w:ascii="FrankRuehl" w:hAnsi="FrankRuehl" w:cs="FrankRuehl" w:hint="cs"/>
          <w:color w:val="000000"/>
          <w:sz w:val="26"/>
          <w:szCs w:val="26"/>
          <w:rtl/>
        </w:rPr>
        <w:t xml:space="preserve">בעיקר </w:t>
      </w:r>
      <w:r>
        <w:rPr>
          <w:rFonts w:ascii="FrankRuehl" w:hAnsi="FrankRuehl" w:cs="FrankRuehl" w:hint="cs"/>
          <w:color w:val="000000"/>
          <w:sz w:val="26"/>
          <w:szCs w:val="26"/>
          <w:rtl/>
        </w:rPr>
        <w:t xml:space="preserve">כאשר אכיפת </w:t>
      </w:r>
      <w:r w:rsidR="00094E86">
        <w:rPr>
          <w:rFonts w:ascii="FrankRuehl" w:hAnsi="FrankRuehl" w:cs="FrankRuehl" w:hint="cs"/>
          <w:color w:val="000000"/>
          <w:sz w:val="26"/>
          <w:szCs w:val="26"/>
          <w:rtl/>
        </w:rPr>
        <w:t xml:space="preserve">התנייה </w:t>
      </w:r>
      <w:r w:rsidR="003D6F7F">
        <w:rPr>
          <w:rFonts w:ascii="FrankRuehl" w:hAnsi="FrankRuehl" w:cs="FrankRuehl" w:hint="cs"/>
          <w:color w:val="000000"/>
          <w:sz w:val="26"/>
          <w:szCs w:val="26"/>
          <w:rtl/>
        </w:rPr>
        <w:t>קפחה</w:t>
      </w:r>
      <w:r w:rsidR="00CB7C00">
        <w:rPr>
          <w:rFonts w:ascii="FrankRuehl" w:hAnsi="FrankRuehl" w:cs="FrankRuehl" w:hint="cs"/>
          <w:color w:val="000000"/>
          <w:sz w:val="26"/>
          <w:szCs w:val="26"/>
          <w:rtl/>
        </w:rPr>
        <w:t>,</w:t>
      </w:r>
      <w:r w:rsidR="003D6F7F">
        <w:rPr>
          <w:rFonts w:ascii="FrankRuehl" w:hAnsi="FrankRuehl" w:cs="FrankRuehl" w:hint="cs"/>
          <w:color w:val="000000"/>
          <w:sz w:val="26"/>
          <w:szCs w:val="26"/>
          <w:rtl/>
        </w:rPr>
        <w:t xml:space="preserve"> בשל נסיבות לבר חוזיות</w:t>
      </w:r>
      <w:r w:rsidR="00CB7C00">
        <w:rPr>
          <w:rFonts w:ascii="FrankRuehl" w:hAnsi="FrankRuehl" w:cs="FrankRuehl" w:hint="cs"/>
          <w:color w:val="000000"/>
          <w:sz w:val="26"/>
          <w:szCs w:val="26"/>
          <w:rtl/>
        </w:rPr>
        <w:t xml:space="preserve">, </w:t>
      </w:r>
      <w:r w:rsidR="00094E86">
        <w:rPr>
          <w:rFonts w:ascii="FrankRuehl" w:hAnsi="FrankRuehl" w:cs="FrankRuehl" w:hint="cs"/>
          <w:color w:val="000000"/>
          <w:sz w:val="26"/>
          <w:szCs w:val="26"/>
          <w:rtl/>
        </w:rPr>
        <w:t>את זכותו של המבקש לקבל סעד (</w:t>
      </w:r>
      <w:r w:rsidR="00CB7C00">
        <w:rPr>
          <w:rFonts w:ascii="FrankRuehl" w:hAnsi="FrankRuehl" w:cs="FrankRuehl" w:hint="cs"/>
          <w:color w:val="000000"/>
          <w:sz w:val="26"/>
          <w:szCs w:val="26"/>
          <w:rtl/>
        </w:rPr>
        <w:t xml:space="preserve">לפירוט, ר' </w:t>
      </w:r>
      <w:r w:rsidR="00094E86">
        <w:rPr>
          <w:rFonts w:ascii="FrankRuehl" w:hAnsi="FrankRuehl" w:cs="FrankRuehl" w:hint="cs"/>
          <w:color w:val="000000"/>
          <w:sz w:val="26"/>
          <w:szCs w:val="26"/>
          <w:rtl/>
        </w:rPr>
        <w:t>עניין</w:t>
      </w:r>
      <w:r w:rsidR="00094E86" w:rsidRPr="00094E86">
        <w:rPr>
          <w:rFonts w:ascii="FrankRuehl" w:hAnsi="FrankRuehl" w:cs="FrankRuehl" w:hint="cs"/>
          <w:color w:val="000000"/>
          <w:sz w:val="26"/>
          <w:szCs w:val="26"/>
          <w:rtl/>
        </w:rPr>
        <w:t xml:space="preserve"> </w:t>
      </w:r>
      <w:r w:rsidR="00094E86" w:rsidRPr="00094E86">
        <w:rPr>
          <w:rFonts w:ascii="FrankRuehl" w:hAnsi="FrankRuehl" w:cs="FrankRuehl"/>
          <w:color w:val="000000"/>
        </w:rPr>
        <w:t>G&amp;B</w:t>
      </w:r>
      <w:r w:rsidR="00094E86">
        <w:rPr>
          <w:rFonts w:ascii="FrankRuehl" w:hAnsi="FrankRuehl" w:cs="FrankRuehl" w:hint="cs"/>
          <w:color w:val="000000"/>
          <w:sz w:val="26"/>
          <w:szCs w:val="26"/>
          <w:rtl/>
        </w:rPr>
        <w:t>).</w:t>
      </w:r>
    </w:p>
    <w:p w:rsidR="00CB7C00" w:rsidRDefault="00CB7C00" w:rsidP="00DD7F37">
      <w:pPr>
        <w:pStyle w:val="ad"/>
        <w:numPr>
          <w:ilvl w:val="0"/>
          <w:numId w:val="1"/>
        </w:numPr>
        <w:spacing w:after="240" w:line="360" w:lineRule="auto"/>
        <w:contextualSpacing w:val="0"/>
        <w:jc w:val="both"/>
        <w:rPr>
          <w:rFonts w:ascii="FrankRuehl" w:hAnsi="FrankRuehl" w:cs="FrankRuehl"/>
          <w:color w:val="000000"/>
          <w:sz w:val="26"/>
          <w:szCs w:val="26"/>
        </w:rPr>
      </w:pPr>
      <w:r>
        <w:rPr>
          <w:rFonts w:ascii="FrankRuehl" w:hAnsi="FrankRuehl" w:cs="FrankRuehl" w:hint="cs"/>
          <w:color w:val="000000"/>
          <w:sz w:val="26"/>
          <w:szCs w:val="26"/>
          <w:rtl/>
        </w:rPr>
        <w:t xml:space="preserve">המבקשת לא </w:t>
      </w:r>
      <w:r w:rsidRPr="00BF2143">
        <w:rPr>
          <w:rFonts w:ascii="FrankRuehl" w:hAnsi="FrankRuehl" w:cs="FrankRuehl" w:hint="cs"/>
          <w:noProof w:val="0"/>
          <w:sz w:val="26"/>
          <w:szCs w:val="26"/>
          <w:rtl/>
        </w:rPr>
        <w:t>טענה</w:t>
      </w:r>
      <w:r>
        <w:rPr>
          <w:rFonts w:ascii="FrankRuehl" w:hAnsi="FrankRuehl" w:cs="FrankRuehl" w:hint="cs"/>
          <w:color w:val="000000"/>
          <w:sz w:val="26"/>
          <w:szCs w:val="26"/>
          <w:rtl/>
        </w:rPr>
        <w:t>, שכיבוד תניית השיפוט הייחודית</w:t>
      </w:r>
      <w:r w:rsidR="004572E0">
        <w:rPr>
          <w:rFonts w:ascii="FrankRuehl" w:hAnsi="FrankRuehl" w:cs="FrankRuehl" w:hint="cs"/>
          <w:color w:val="000000"/>
          <w:sz w:val="26"/>
          <w:szCs w:val="26"/>
          <w:rtl/>
        </w:rPr>
        <w:t>,</w:t>
      </w:r>
      <w:r>
        <w:rPr>
          <w:rFonts w:ascii="FrankRuehl" w:hAnsi="FrankRuehl" w:cs="FrankRuehl" w:hint="cs"/>
          <w:color w:val="000000"/>
          <w:sz w:val="26"/>
          <w:szCs w:val="26"/>
          <w:rtl/>
        </w:rPr>
        <w:t xml:space="preserve"> יקפח את זכותה לקבל סעד</w:t>
      </w:r>
      <w:r w:rsidR="00BF2143">
        <w:rPr>
          <w:rFonts w:ascii="FrankRuehl" w:hAnsi="FrankRuehl" w:cs="FrankRuehl" w:hint="cs"/>
          <w:color w:val="000000"/>
          <w:sz w:val="26"/>
          <w:szCs w:val="26"/>
          <w:rtl/>
        </w:rPr>
        <w:t>. טענותיה של הנתבעת מרוכזות כל כולן</w:t>
      </w:r>
      <w:r w:rsidR="004572E0">
        <w:rPr>
          <w:rFonts w:ascii="FrankRuehl" w:hAnsi="FrankRuehl" w:cs="FrankRuehl" w:hint="cs"/>
          <w:color w:val="000000"/>
          <w:sz w:val="26"/>
          <w:szCs w:val="26"/>
          <w:rtl/>
        </w:rPr>
        <w:t>,</w:t>
      </w:r>
      <w:r w:rsidR="00BF2143">
        <w:rPr>
          <w:rFonts w:ascii="FrankRuehl" w:hAnsi="FrankRuehl" w:cs="FrankRuehl" w:hint="cs"/>
          <w:color w:val="000000"/>
          <w:sz w:val="26"/>
          <w:szCs w:val="26"/>
          <w:rtl/>
        </w:rPr>
        <w:t xml:space="preserve"> בזיקות שיש לסכסוך לסינגפור. אפילו הייתי מקבל</w:t>
      </w:r>
      <w:r w:rsidR="004572E0">
        <w:rPr>
          <w:rFonts w:ascii="FrankRuehl" w:hAnsi="FrankRuehl" w:cs="FrankRuehl" w:hint="cs"/>
          <w:color w:val="000000"/>
          <w:sz w:val="26"/>
          <w:szCs w:val="26"/>
          <w:rtl/>
        </w:rPr>
        <w:t>,</w:t>
      </w:r>
      <w:r w:rsidR="00BF2143">
        <w:rPr>
          <w:rFonts w:ascii="FrankRuehl" w:hAnsi="FrankRuehl" w:cs="FrankRuehl" w:hint="cs"/>
          <w:color w:val="000000"/>
          <w:sz w:val="26"/>
          <w:szCs w:val="26"/>
          <w:rtl/>
        </w:rPr>
        <w:t xml:space="preserve"> </w:t>
      </w:r>
      <w:r w:rsidR="00654136">
        <w:rPr>
          <w:rFonts w:ascii="FrankRuehl" w:hAnsi="FrankRuehl" w:cs="FrankRuehl" w:hint="cs"/>
          <w:color w:val="000000"/>
          <w:sz w:val="26"/>
          <w:szCs w:val="26"/>
          <w:rtl/>
        </w:rPr>
        <w:t>את טענת הזיקות</w:t>
      </w:r>
      <w:r w:rsidR="003540DB">
        <w:rPr>
          <w:rFonts w:ascii="FrankRuehl" w:hAnsi="FrankRuehl" w:cs="FrankRuehl" w:hint="cs"/>
          <w:color w:val="000000"/>
          <w:sz w:val="26"/>
          <w:szCs w:val="26"/>
          <w:rtl/>
        </w:rPr>
        <w:t>,</w:t>
      </w:r>
      <w:r w:rsidR="00BF2143">
        <w:rPr>
          <w:rFonts w:ascii="FrankRuehl" w:hAnsi="FrankRuehl" w:cs="FrankRuehl" w:hint="cs"/>
          <w:color w:val="000000"/>
          <w:sz w:val="26"/>
          <w:szCs w:val="26"/>
          <w:rtl/>
        </w:rPr>
        <w:t xml:space="preserve"> על כרעי</w:t>
      </w:r>
      <w:r w:rsidR="00654136">
        <w:rPr>
          <w:rFonts w:ascii="FrankRuehl" w:hAnsi="FrankRuehl" w:cs="FrankRuehl" w:hint="cs"/>
          <w:color w:val="000000"/>
          <w:sz w:val="26"/>
          <w:szCs w:val="26"/>
          <w:rtl/>
        </w:rPr>
        <w:t>ה</w:t>
      </w:r>
      <w:r w:rsidR="00BF2143">
        <w:rPr>
          <w:rFonts w:ascii="FrankRuehl" w:hAnsi="FrankRuehl" w:cs="FrankRuehl" w:hint="cs"/>
          <w:color w:val="000000"/>
          <w:sz w:val="26"/>
          <w:szCs w:val="26"/>
          <w:rtl/>
        </w:rPr>
        <w:t xml:space="preserve"> ועל קרב</w:t>
      </w:r>
      <w:r w:rsidR="00654136">
        <w:rPr>
          <w:rFonts w:ascii="FrankRuehl" w:hAnsi="FrankRuehl" w:cs="FrankRuehl" w:hint="cs"/>
          <w:color w:val="000000"/>
          <w:sz w:val="26"/>
          <w:szCs w:val="26"/>
          <w:rtl/>
        </w:rPr>
        <w:t>ה</w:t>
      </w:r>
      <w:r w:rsidR="00BF2143">
        <w:rPr>
          <w:rFonts w:ascii="FrankRuehl" w:hAnsi="FrankRuehl" w:cs="FrankRuehl" w:hint="cs"/>
          <w:color w:val="000000"/>
          <w:sz w:val="26"/>
          <w:szCs w:val="26"/>
          <w:rtl/>
        </w:rPr>
        <w:t xml:space="preserve">, </w:t>
      </w:r>
      <w:r w:rsidR="00654136">
        <w:rPr>
          <w:rFonts w:ascii="FrankRuehl" w:hAnsi="FrankRuehl" w:cs="FrankRuehl" w:hint="cs"/>
          <w:color w:val="000000"/>
          <w:sz w:val="26"/>
          <w:szCs w:val="26"/>
          <w:rtl/>
        </w:rPr>
        <w:t xml:space="preserve">לא היה בכך כדי להצדיק התעלמות מתניית השיפוט. </w:t>
      </w:r>
      <w:r w:rsidR="00DD7F37">
        <w:rPr>
          <w:rFonts w:ascii="FrankRuehl" w:hAnsi="FrankRuehl" w:cs="FrankRuehl" w:hint="cs"/>
          <w:color w:val="000000"/>
          <w:sz w:val="26"/>
          <w:szCs w:val="26"/>
          <w:rtl/>
        </w:rPr>
        <w:t xml:space="preserve">תניית שיפוט ייחודית, מעצם טיבה, נועדה להתגבר על זיקות אפשריות כאלה ואחרות, על מנת להגן על אינטרסים אחרים. </w:t>
      </w:r>
      <w:r w:rsidR="00654136">
        <w:rPr>
          <w:rFonts w:ascii="FrankRuehl" w:hAnsi="FrankRuehl" w:cs="FrankRuehl" w:hint="cs"/>
          <w:color w:val="000000"/>
          <w:sz w:val="26"/>
          <w:szCs w:val="26"/>
          <w:rtl/>
        </w:rPr>
        <w:t xml:space="preserve">התעלמות </w:t>
      </w:r>
      <w:r w:rsidR="00DD7F37">
        <w:rPr>
          <w:rFonts w:ascii="FrankRuehl" w:hAnsi="FrankRuehl" w:cs="FrankRuehl" w:hint="cs"/>
          <w:color w:val="000000"/>
          <w:sz w:val="26"/>
          <w:szCs w:val="26"/>
          <w:rtl/>
        </w:rPr>
        <w:t>מתניית שיפוט מ</w:t>
      </w:r>
      <w:r w:rsidR="00BF2143">
        <w:rPr>
          <w:rFonts w:ascii="FrankRuehl" w:hAnsi="FrankRuehl" w:cs="FrankRuehl" w:hint="cs"/>
          <w:color w:val="000000"/>
          <w:sz w:val="26"/>
          <w:szCs w:val="26"/>
          <w:rtl/>
        </w:rPr>
        <w:t>הווה התערבות ביחסים החוזיים</w:t>
      </w:r>
      <w:r w:rsidR="00DD7F37">
        <w:rPr>
          <w:rFonts w:ascii="FrankRuehl" w:hAnsi="FrankRuehl" w:cs="FrankRuehl" w:hint="cs"/>
          <w:color w:val="000000"/>
          <w:sz w:val="26"/>
          <w:szCs w:val="26"/>
          <w:rtl/>
        </w:rPr>
        <w:t>,</w:t>
      </w:r>
      <w:r w:rsidR="00654136">
        <w:rPr>
          <w:rFonts w:ascii="FrankRuehl" w:hAnsi="FrankRuehl" w:cs="FrankRuehl" w:hint="cs"/>
          <w:color w:val="000000"/>
          <w:sz w:val="26"/>
          <w:szCs w:val="26"/>
          <w:rtl/>
        </w:rPr>
        <w:t xml:space="preserve"> בניגוד ל</w:t>
      </w:r>
      <w:r w:rsidR="00197A5A">
        <w:rPr>
          <w:rFonts w:ascii="FrankRuehl" w:hAnsi="FrankRuehl" w:cs="FrankRuehl" w:hint="cs"/>
          <w:color w:val="000000"/>
          <w:sz w:val="26"/>
          <w:szCs w:val="26"/>
          <w:rtl/>
        </w:rPr>
        <w:t>חופש החוזים</w:t>
      </w:r>
      <w:r w:rsidR="000E22BE">
        <w:rPr>
          <w:rFonts w:ascii="FrankRuehl" w:hAnsi="FrankRuehl" w:cs="FrankRuehl" w:hint="cs"/>
          <w:color w:val="000000"/>
          <w:sz w:val="26"/>
          <w:szCs w:val="26"/>
          <w:rtl/>
        </w:rPr>
        <w:t xml:space="preserve">, שעניינו </w:t>
      </w:r>
      <w:r w:rsidR="00197A5A">
        <w:rPr>
          <w:rFonts w:ascii="FrankRuehl" w:hAnsi="FrankRuehl" w:cs="FrankRuehl" w:hint="cs"/>
          <w:color w:val="000000"/>
          <w:sz w:val="26"/>
          <w:szCs w:val="26"/>
          <w:rtl/>
        </w:rPr>
        <w:t xml:space="preserve"> </w:t>
      </w:r>
      <w:r w:rsidR="00DD7F37">
        <w:rPr>
          <w:rFonts w:ascii="FrankRuehl" w:hAnsi="FrankRuehl" w:cs="FrankRuehl" w:hint="cs"/>
          <w:color w:val="000000"/>
          <w:sz w:val="26"/>
          <w:szCs w:val="26"/>
          <w:rtl/>
        </w:rPr>
        <w:t xml:space="preserve">האוטונומיה של </w:t>
      </w:r>
      <w:r w:rsidR="000E22BE">
        <w:rPr>
          <w:rFonts w:ascii="FrankRuehl" w:hAnsi="FrankRuehl" w:cs="FrankRuehl" w:hint="cs"/>
          <w:color w:val="000000"/>
          <w:sz w:val="26"/>
          <w:szCs w:val="26"/>
          <w:rtl/>
        </w:rPr>
        <w:t xml:space="preserve">צדדים </w:t>
      </w:r>
      <w:r w:rsidR="00DD7F37">
        <w:rPr>
          <w:rFonts w:ascii="FrankRuehl" w:hAnsi="FrankRuehl" w:cs="FrankRuehl" w:hint="cs"/>
          <w:color w:val="000000"/>
          <w:sz w:val="26"/>
          <w:szCs w:val="26"/>
          <w:rtl/>
        </w:rPr>
        <w:t xml:space="preserve">(במגבלות הדין) </w:t>
      </w:r>
      <w:r w:rsidR="000E22BE">
        <w:rPr>
          <w:rFonts w:ascii="FrankRuehl" w:hAnsi="FrankRuehl" w:cs="FrankRuehl" w:hint="cs"/>
          <w:color w:val="000000"/>
          <w:sz w:val="26"/>
          <w:szCs w:val="26"/>
          <w:rtl/>
        </w:rPr>
        <w:t xml:space="preserve">לגבש חוזה כרצונם </w:t>
      </w:r>
      <w:r w:rsidR="00197A5A">
        <w:rPr>
          <w:rFonts w:ascii="FrankRuehl" w:hAnsi="FrankRuehl" w:cs="FrankRuehl" w:hint="cs"/>
          <w:color w:val="000000"/>
          <w:sz w:val="26"/>
          <w:szCs w:val="26"/>
          <w:rtl/>
        </w:rPr>
        <w:t>(</w:t>
      </w:r>
      <w:r w:rsidR="000E22BE">
        <w:rPr>
          <w:rFonts w:ascii="FrankRuehl" w:hAnsi="FrankRuehl" w:cs="FrankRuehl" w:hint="cs"/>
          <w:color w:val="000000"/>
          <w:sz w:val="26"/>
          <w:szCs w:val="26"/>
          <w:rtl/>
        </w:rPr>
        <w:t xml:space="preserve">סעיף 24 לחוק החוזים (חלק כללי), תשל"ג-1973, להלן: </w:t>
      </w:r>
      <w:r w:rsidR="000E22BE" w:rsidRPr="006116D4">
        <w:rPr>
          <w:rFonts w:asciiTheme="minorBidi" w:hAnsiTheme="minorBidi" w:cstheme="minorBidi"/>
          <w:color w:val="000000"/>
          <w:rtl/>
        </w:rPr>
        <w:t>חוק החוזים הכללי</w:t>
      </w:r>
      <w:r w:rsidR="000E22BE">
        <w:rPr>
          <w:rFonts w:asciiTheme="minorBidi" w:hAnsiTheme="minorBidi" w:cstheme="minorBidi" w:hint="cs"/>
          <w:color w:val="000000"/>
          <w:rtl/>
        </w:rPr>
        <w:t xml:space="preserve">, </w:t>
      </w:r>
      <w:r w:rsidR="00197A5A" w:rsidRPr="00197A5A">
        <w:rPr>
          <w:rFonts w:ascii="FrankRuehl" w:hAnsi="FrankRuehl" w:cs="FrankRuehl"/>
          <w:color w:val="000000"/>
          <w:sz w:val="26"/>
          <w:szCs w:val="26"/>
          <w:rtl/>
        </w:rPr>
        <w:t xml:space="preserve">רע"א 5248/90 </w:t>
      </w:r>
      <w:r w:rsidR="00197A5A" w:rsidRPr="00105031">
        <w:rPr>
          <w:rFonts w:ascii="FrankRuehl" w:hAnsi="FrankRuehl" w:cs="FrankRuehl"/>
          <w:b/>
          <w:bCs/>
          <w:color w:val="000000"/>
          <w:sz w:val="26"/>
          <w:szCs w:val="26"/>
          <w:rtl/>
        </w:rPr>
        <w:t>ראובן אנטין נ' בנימין פרנקל</w:t>
      </w:r>
      <w:r w:rsidR="00197A5A" w:rsidRPr="00197A5A">
        <w:rPr>
          <w:rFonts w:ascii="FrankRuehl" w:hAnsi="FrankRuehl" w:cs="FrankRuehl"/>
          <w:color w:val="000000"/>
          <w:sz w:val="26"/>
          <w:szCs w:val="26"/>
          <w:rtl/>
        </w:rPr>
        <w:t xml:space="preserve">, </w:t>
      </w:r>
      <w:r w:rsidR="00105031">
        <w:rPr>
          <w:rFonts w:ascii="FrankRuehl" w:hAnsi="FrankRuehl" w:cs="FrankRuehl" w:hint="cs"/>
          <w:color w:val="000000"/>
          <w:sz w:val="26"/>
          <w:szCs w:val="26"/>
          <w:rtl/>
        </w:rPr>
        <w:t xml:space="preserve">פ"ד </w:t>
      </w:r>
      <w:r w:rsidR="00197A5A" w:rsidRPr="00197A5A">
        <w:rPr>
          <w:rFonts w:ascii="FrankRuehl" w:hAnsi="FrankRuehl" w:cs="FrankRuehl"/>
          <w:color w:val="000000"/>
          <w:sz w:val="26"/>
          <w:szCs w:val="26"/>
          <w:rtl/>
        </w:rPr>
        <w:t>מה(5) 139</w:t>
      </w:r>
      <w:r w:rsidR="00197A5A">
        <w:rPr>
          <w:rFonts w:ascii="FrankRuehl" w:hAnsi="FrankRuehl" w:cs="FrankRuehl" w:hint="cs"/>
          <w:color w:val="000000"/>
          <w:sz w:val="26"/>
          <w:szCs w:val="26"/>
          <w:rtl/>
        </w:rPr>
        <w:t>, 145</w:t>
      </w:r>
      <w:r w:rsidR="00197A5A" w:rsidRPr="00197A5A">
        <w:rPr>
          <w:rFonts w:ascii="FrankRuehl" w:hAnsi="FrankRuehl" w:cs="FrankRuehl"/>
          <w:color w:val="000000"/>
          <w:sz w:val="26"/>
          <w:szCs w:val="26"/>
        </w:rPr>
        <w:t xml:space="preserve"> (1991)</w:t>
      </w:r>
      <w:r w:rsidR="00197A5A">
        <w:rPr>
          <w:rFonts w:ascii="FrankRuehl" w:hAnsi="FrankRuehl" w:cs="FrankRuehl" w:hint="cs"/>
          <w:color w:val="000000"/>
          <w:sz w:val="26"/>
          <w:szCs w:val="26"/>
          <w:rtl/>
        </w:rPr>
        <w:t>)</w:t>
      </w:r>
      <w:r w:rsidR="00105031">
        <w:rPr>
          <w:rFonts w:ascii="FrankRuehl" w:hAnsi="FrankRuehl" w:cs="FrankRuehl" w:hint="cs"/>
          <w:color w:val="000000"/>
          <w:sz w:val="26"/>
          <w:szCs w:val="26"/>
          <w:rtl/>
        </w:rPr>
        <w:t xml:space="preserve">. </w:t>
      </w:r>
      <w:r w:rsidR="000E22BE">
        <w:rPr>
          <w:rFonts w:ascii="FrankRuehl" w:hAnsi="FrankRuehl" w:cs="FrankRuehl" w:hint="cs"/>
          <w:color w:val="000000"/>
          <w:sz w:val="26"/>
          <w:szCs w:val="26"/>
          <w:rtl/>
        </w:rPr>
        <w:t>כפועל יוצא, יש לאכוף את אשר הוסכם</w:t>
      </w:r>
      <w:r w:rsidR="001A59CC">
        <w:rPr>
          <w:rFonts w:ascii="FrankRuehl" w:hAnsi="FrankRuehl" w:cs="FrankRuehl" w:hint="cs"/>
          <w:color w:val="000000"/>
          <w:sz w:val="26"/>
          <w:szCs w:val="26"/>
          <w:rtl/>
        </w:rPr>
        <w:t>, בהיעדר עילה בדין לא לעשות כן</w:t>
      </w:r>
      <w:r w:rsidR="000E22BE">
        <w:rPr>
          <w:rFonts w:ascii="FrankRuehl" w:hAnsi="FrankRuehl" w:cs="FrankRuehl" w:hint="cs"/>
          <w:color w:val="000000"/>
          <w:sz w:val="26"/>
          <w:szCs w:val="26"/>
          <w:rtl/>
        </w:rPr>
        <w:t xml:space="preserve"> </w:t>
      </w:r>
      <w:r w:rsidR="00DF64D1" w:rsidRPr="00654136">
        <w:rPr>
          <w:rFonts w:ascii="FrankRuehl" w:hAnsi="FrankRuehl" w:cs="FrankRuehl" w:hint="cs"/>
          <w:color w:val="000000"/>
          <w:sz w:val="26"/>
          <w:szCs w:val="26"/>
          <w:rtl/>
        </w:rPr>
        <w:t>(</w:t>
      </w:r>
      <w:r w:rsidR="00461962">
        <w:rPr>
          <w:rFonts w:ascii="FrankRuehl" w:hAnsi="FrankRuehl" w:cs="FrankRuehl" w:hint="cs"/>
          <w:color w:val="000000"/>
          <w:sz w:val="26"/>
          <w:szCs w:val="26"/>
          <w:rtl/>
        </w:rPr>
        <w:t>סעיף 1 לחוק החוזים (תרופות בשל הפרת חוזה), תשל"א-1970, להלן:</w:t>
      </w:r>
      <w:r w:rsidR="00461962" w:rsidRPr="000D0FD3">
        <w:rPr>
          <w:rFonts w:asciiTheme="minorBidi" w:hAnsiTheme="minorBidi" w:cstheme="minorBidi"/>
          <w:color w:val="000000"/>
          <w:rtl/>
        </w:rPr>
        <w:t xml:space="preserve"> חוק החוזים תרופות</w:t>
      </w:r>
      <w:r w:rsidR="000E22BE">
        <w:rPr>
          <w:rFonts w:ascii="FrankRuehl" w:hAnsi="FrankRuehl" w:cs="FrankRuehl" w:hint="cs"/>
          <w:color w:val="000000"/>
          <w:sz w:val="26"/>
          <w:szCs w:val="26"/>
          <w:rtl/>
        </w:rPr>
        <w:t xml:space="preserve">. </w:t>
      </w:r>
      <w:r w:rsidR="00DD7F37">
        <w:rPr>
          <w:rFonts w:ascii="FrankRuehl" w:hAnsi="FrankRuehl" w:cs="FrankRuehl" w:hint="cs"/>
          <w:color w:val="000000"/>
          <w:sz w:val="26"/>
          <w:szCs w:val="26"/>
          <w:rtl/>
        </w:rPr>
        <w:t>ל</w:t>
      </w:r>
      <w:r w:rsidR="000E22BE">
        <w:rPr>
          <w:rFonts w:ascii="FrankRuehl" w:hAnsi="FrankRuehl" w:cs="FrankRuehl" w:hint="cs"/>
          <w:color w:val="000000"/>
          <w:sz w:val="26"/>
          <w:szCs w:val="26"/>
          <w:rtl/>
        </w:rPr>
        <w:t>עקרון הכללי, לפיו חוזים יש לקיים</w:t>
      </w:r>
      <w:r w:rsidR="00DD7F37">
        <w:rPr>
          <w:rFonts w:ascii="FrankRuehl" w:hAnsi="FrankRuehl" w:cs="FrankRuehl" w:hint="cs"/>
          <w:color w:val="000000"/>
          <w:sz w:val="26"/>
          <w:szCs w:val="26"/>
          <w:rtl/>
        </w:rPr>
        <w:t>, ר'</w:t>
      </w:r>
      <w:r w:rsidR="000E22BE">
        <w:rPr>
          <w:rFonts w:ascii="FrankRuehl" w:hAnsi="FrankRuehl" w:cs="FrankRuehl" w:hint="cs"/>
          <w:color w:val="000000"/>
          <w:sz w:val="26"/>
          <w:szCs w:val="26"/>
          <w:rtl/>
        </w:rPr>
        <w:t xml:space="preserve"> </w:t>
      </w:r>
      <w:r w:rsidR="00F233B7" w:rsidRPr="00654136">
        <w:rPr>
          <w:rFonts w:ascii="FrankRuehl" w:hAnsi="FrankRuehl" w:cs="FrankRuehl"/>
          <w:color w:val="000000"/>
          <w:sz w:val="26"/>
          <w:szCs w:val="26"/>
          <w:rtl/>
        </w:rPr>
        <w:t xml:space="preserve">ע"א 8611/06 </w:t>
      </w:r>
      <w:r w:rsidR="00F233B7" w:rsidRPr="00654136">
        <w:rPr>
          <w:rFonts w:ascii="FrankRuehl" w:hAnsi="FrankRuehl" w:cs="FrankRuehl"/>
          <w:b/>
          <w:bCs/>
          <w:color w:val="000000"/>
          <w:sz w:val="26"/>
          <w:szCs w:val="26"/>
          <w:rtl/>
        </w:rPr>
        <w:t>בנק הפועלים בע"מ נ' מיכל מרטין</w:t>
      </w:r>
      <w:r w:rsidR="00F233B7" w:rsidRPr="00654136">
        <w:rPr>
          <w:rFonts w:ascii="FrankRuehl" w:hAnsi="FrankRuehl" w:cs="FrankRuehl"/>
          <w:color w:val="000000"/>
          <w:sz w:val="26"/>
          <w:szCs w:val="26"/>
          <w:rtl/>
        </w:rPr>
        <w:t xml:space="preserve"> (02.03.2011)</w:t>
      </w:r>
      <w:r w:rsidR="00346C31">
        <w:rPr>
          <w:rFonts w:ascii="FrankRuehl" w:hAnsi="FrankRuehl" w:cs="FrankRuehl" w:hint="cs"/>
          <w:color w:val="000000"/>
          <w:sz w:val="26"/>
          <w:szCs w:val="26"/>
          <w:rtl/>
        </w:rPr>
        <w:t xml:space="preserve">, </w:t>
      </w:r>
      <w:r w:rsidR="00B538C4">
        <w:rPr>
          <w:rFonts w:ascii="FrankRuehl" w:hAnsi="FrankRuehl" w:cs="FrankRuehl" w:hint="cs"/>
          <w:color w:val="000000"/>
          <w:sz w:val="26"/>
          <w:szCs w:val="26"/>
          <w:rtl/>
        </w:rPr>
        <w:t xml:space="preserve">עניין מפעלי תרנ"א, </w:t>
      </w:r>
      <w:r w:rsidR="00461962" w:rsidRPr="00461962">
        <w:rPr>
          <w:rFonts w:ascii="FrankRuehl" w:hAnsi="FrankRuehl" w:cs="FrankRuehl"/>
          <w:color w:val="000000"/>
          <w:sz w:val="26"/>
          <w:szCs w:val="26"/>
          <w:rtl/>
        </w:rPr>
        <w:t xml:space="preserve">ע"א 5131/10 </w:t>
      </w:r>
      <w:r w:rsidR="00461962" w:rsidRPr="00461962">
        <w:rPr>
          <w:rFonts w:ascii="FrankRuehl" w:hAnsi="FrankRuehl" w:cs="FrankRuehl"/>
          <w:b/>
          <w:bCs/>
          <w:color w:val="000000"/>
          <w:sz w:val="26"/>
          <w:szCs w:val="26"/>
          <w:rtl/>
        </w:rPr>
        <w:t>רחל אזימוב נ' אפרים בנימיני</w:t>
      </w:r>
      <w:r w:rsidR="00461962" w:rsidRPr="00461962">
        <w:rPr>
          <w:rFonts w:ascii="FrankRuehl" w:hAnsi="FrankRuehl" w:cs="FrankRuehl"/>
          <w:color w:val="000000"/>
          <w:sz w:val="26"/>
          <w:szCs w:val="26"/>
          <w:rtl/>
        </w:rPr>
        <w:t xml:space="preserve">, </w:t>
      </w:r>
      <w:r w:rsidR="00461962">
        <w:rPr>
          <w:rFonts w:ascii="FrankRuehl" w:hAnsi="FrankRuehl" w:cs="FrankRuehl" w:hint="cs"/>
          <w:color w:val="000000"/>
          <w:sz w:val="26"/>
          <w:szCs w:val="26"/>
          <w:rtl/>
        </w:rPr>
        <w:t xml:space="preserve">פ"ד </w:t>
      </w:r>
      <w:r w:rsidR="00461962" w:rsidRPr="00461962">
        <w:rPr>
          <w:rFonts w:ascii="FrankRuehl" w:hAnsi="FrankRuehl" w:cs="FrankRuehl"/>
          <w:color w:val="000000"/>
          <w:sz w:val="26"/>
          <w:szCs w:val="26"/>
          <w:rtl/>
        </w:rPr>
        <w:t>סו(1) 442</w:t>
      </w:r>
      <w:r w:rsidR="00461962">
        <w:rPr>
          <w:rFonts w:ascii="FrankRuehl" w:hAnsi="FrankRuehl" w:cs="FrankRuehl" w:hint="cs"/>
          <w:color w:val="000000"/>
          <w:sz w:val="26"/>
          <w:szCs w:val="26"/>
          <w:rtl/>
        </w:rPr>
        <w:t xml:space="preserve"> </w:t>
      </w:r>
      <w:r w:rsidR="00461962" w:rsidRPr="00461962">
        <w:rPr>
          <w:rFonts w:ascii="FrankRuehl" w:hAnsi="FrankRuehl" w:cs="FrankRuehl"/>
          <w:color w:val="000000"/>
          <w:sz w:val="26"/>
          <w:szCs w:val="26"/>
        </w:rPr>
        <w:t>(2013)</w:t>
      </w:r>
      <w:r w:rsidR="00461962">
        <w:rPr>
          <w:rFonts w:ascii="FrankRuehl" w:hAnsi="FrankRuehl" w:cs="FrankRuehl" w:hint="cs"/>
          <w:color w:val="000000"/>
          <w:sz w:val="26"/>
          <w:szCs w:val="26"/>
          <w:rtl/>
        </w:rPr>
        <w:t xml:space="preserve">, להלן: </w:t>
      </w:r>
      <w:r w:rsidR="00461962" w:rsidRPr="00461962">
        <w:rPr>
          <w:rFonts w:asciiTheme="minorBidi" w:hAnsiTheme="minorBidi" w:cstheme="minorBidi"/>
          <w:color w:val="000000"/>
          <w:rtl/>
        </w:rPr>
        <w:t>עניין אזימוב</w:t>
      </w:r>
      <w:r w:rsidR="00DF64D1">
        <w:rPr>
          <w:rFonts w:ascii="FrankRuehl" w:hAnsi="FrankRuehl" w:cs="FrankRuehl" w:hint="cs"/>
          <w:color w:val="000000"/>
          <w:sz w:val="26"/>
          <w:szCs w:val="26"/>
          <w:rtl/>
        </w:rPr>
        <w:t>).</w:t>
      </w:r>
      <w:r w:rsidR="00F4561F">
        <w:rPr>
          <w:rFonts w:ascii="FrankRuehl" w:hAnsi="FrankRuehl" w:cs="FrankRuehl" w:hint="cs"/>
          <w:color w:val="000000"/>
          <w:sz w:val="26"/>
          <w:szCs w:val="26"/>
          <w:rtl/>
        </w:rPr>
        <w:t xml:space="preserve"> </w:t>
      </w:r>
      <w:r w:rsidR="003540DB">
        <w:rPr>
          <w:rFonts w:ascii="FrankRuehl" w:hAnsi="FrankRuehl" w:cs="FrankRuehl" w:hint="cs"/>
          <w:color w:val="000000"/>
          <w:sz w:val="26"/>
          <w:szCs w:val="26"/>
          <w:rtl/>
        </w:rPr>
        <w:t>לפיכך, זיקות הצדדים לסינגפור אינן עילה להימנע מאכיפת</w:t>
      </w:r>
      <w:r w:rsidR="00DD7F37">
        <w:rPr>
          <w:rFonts w:ascii="FrankRuehl" w:hAnsi="FrankRuehl" w:cs="FrankRuehl" w:hint="cs"/>
          <w:color w:val="000000"/>
          <w:sz w:val="26"/>
          <w:szCs w:val="26"/>
          <w:rtl/>
        </w:rPr>
        <w:t>ה של</w:t>
      </w:r>
      <w:r w:rsidR="003540DB">
        <w:rPr>
          <w:rFonts w:ascii="FrankRuehl" w:hAnsi="FrankRuehl" w:cs="FrankRuehl" w:hint="cs"/>
          <w:color w:val="000000"/>
          <w:sz w:val="26"/>
          <w:szCs w:val="26"/>
          <w:rtl/>
        </w:rPr>
        <w:t xml:space="preserve"> תניית השיפוט.</w:t>
      </w:r>
    </w:p>
    <w:p w:rsidR="005B3757" w:rsidRDefault="005B3757" w:rsidP="008A22F5">
      <w:pPr>
        <w:pStyle w:val="ad"/>
        <w:numPr>
          <w:ilvl w:val="0"/>
          <w:numId w:val="1"/>
        </w:numPr>
        <w:spacing w:after="240" w:line="360" w:lineRule="auto"/>
        <w:contextualSpacing w:val="0"/>
        <w:jc w:val="both"/>
        <w:rPr>
          <w:rFonts w:ascii="FrankRuehl" w:hAnsi="FrankRuehl" w:cs="FrankRuehl"/>
          <w:noProof w:val="0"/>
          <w:color w:val="000000"/>
          <w:sz w:val="26"/>
          <w:szCs w:val="26"/>
        </w:rPr>
      </w:pPr>
      <w:r w:rsidRPr="00C13DB0">
        <w:rPr>
          <w:rFonts w:ascii="FrankRuehl" w:hAnsi="FrankRuehl" w:cs="FrankRuehl" w:hint="cs"/>
          <w:color w:val="000000"/>
          <w:sz w:val="26"/>
          <w:szCs w:val="26"/>
          <w:rtl/>
        </w:rPr>
        <w:t xml:space="preserve">יתירה מזו, </w:t>
      </w:r>
      <w:r w:rsidRPr="00C13DB0">
        <w:rPr>
          <w:rFonts w:ascii="FrankRuehl" w:hAnsi="FrankRuehl" w:cs="FrankRuehl" w:hint="cs"/>
          <w:noProof w:val="0"/>
          <w:sz w:val="26"/>
          <w:szCs w:val="26"/>
          <w:rtl/>
        </w:rPr>
        <w:t xml:space="preserve">ההלכות דלעיל נקבעו </w:t>
      </w:r>
      <w:r w:rsidR="00274B4B" w:rsidRPr="00C13DB0">
        <w:rPr>
          <w:rFonts w:ascii="FrankRuehl" w:hAnsi="FrankRuehl" w:cs="FrankRuehl" w:hint="cs"/>
          <w:noProof w:val="0"/>
          <w:sz w:val="26"/>
          <w:szCs w:val="26"/>
          <w:rtl/>
        </w:rPr>
        <w:t>כאשר ערכאות בישראל התבקשו למשוך את ידן מדיון בהליך</w:t>
      </w:r>
      <w:r w:rsidRPr="00C13DB0">
        <w:rPr>
          <w:rFonts w:ascii="FrankRuehl" w:hAnsi="FrankRuehl" w:cs="FrankRuehl" w:hint="cs"/>
          <w:noProof w:val="0"/>
          <w:sz w:val="26"/>
          <w:szCs w:val="26"/>
          <w:rtl/>
        </w:rPr>
        <w:t xml:space="preserve">, </w:t>
      </w:r>
      <w:r w:rsidR="00274B4B" w:rsidRPr="00C13DB0">
        <w:rPr>
          <w:rFonts w:ascii="FrankRuehl" w:hAnsi="FrankRuehl" w:cs="FrankRuehl" w:hint="cs"/>
          <w:noProof w:val="0"/>
          <w:sz w:val="26"/>
          <w:szCs w:val="26"/>
          <w:rtl/>
        </w:rPr>
        <w:t>ב</w:t>
      </w:r>
      <w:r w:rsidRPr="00C13DB0">
        <w:rPr>
          <w:rFonts w:ascii="FrankRuehl" w:hAnsi="FrankRuehl" w:cs="FrankRuehl" w:hint="cs"/>
          <w:noProof w:val="0"/>
          <w:sz w:val="26"/>
          <w:szCs w:val="26"/>
          <w:rtl/>
        </w:rPr>
        <w:t>של תניית שיפוט ייחודית. במקרה הנדון, בית משפט זה גם אוחז בסמכות מכוח המצאה כדין, וגם נקבע כערכאה בפניה יש להתדיין, לפי תניית שיפוט ייחודית. לפיכך,</w:t>
      </w:r>
      <w:r w:rsidR="00536C31" w:rsidRPr="00C13DB0">
        <w:rPr>
          <w:rFonts w:ascii="FrankRuehl" w:hAnsi="FrankRuehl" w:cs="FrankRuehl" w:hint="cs"/>
          <w:noProof w:val="0"/>
          <w:sz w:val="26"/>
          <w:szCs w:val="26"/>
          <w:rtl/>
        </w:rPr>
        <w:t xml:space="preserve"> </w:t>
      </w:r>
      <w:r w:rsidR="00D40244" w:rsidRPr="00C13DB0">
        <w:rPr>
          <w:rFonts w:ascii="FrankRuehl" w:hAnsi="FrankRuehl" w:cs="FrankRuehl" w:hint="cs"/>
          <w:noProof w:val="0"/>
          <w:sz w:val="26"/>
          <w:szCs w:val="26"/>
          <w:rtl/>
        </w:rPr>
        <w:t>על ה</w:t>
      </w:r>
      <w:r w:rsidR="008A22F5">
        <w:rPr>
          <w:rFonts w:ascii="FrankRuehl" w:hAnsi="FrankRuehl" w:cs="FrankRuehl" w:hint="cs"/>
          <w:noProof w:val="0"/>
          <w:sz w:val="26"/>
          <w:szCs w:val="26"/>
          <w:rtl/>
        </w:rPr>
        <w:t>נתבעת</w:t>
      </w:r>
      <w:r w:rsidR="00D40244" w:rsidRPr="00C13DB0">
        <w:rPr>
          <w:rFonts w:ascii="FrankRuehl" w:hAnsi="FrankRuehl" w:cs="FrankRuehl" w:hint="cs"/>
          <w:noProof w:val="0"/>
          <w:sz w:val="26"/>
          <w:szCs w:val="26"/>
          <w:rtl/>
        </w:rPr>
        <w:t xml:space="preserve"> לשכנע</w:t>
      </w:r>
      <w:r w:rsidR="004572E0">
        <w:rPr>
          <w:rFonts w:ascii="FrankRuehl" w:hAnsi="FrankRuehl" w:cs="FrankRuehl" w:hint="cs"/>
          <w:noProof w:val="0"/>
          <w:sz w:val="26"/>
          <w:szCs w:val="26"/>
          <w:rtl/>
        </w:rPr>
        <w:t>,</w:t>
      </w:r>
      <w:r w:rsidR="00D40244" w:rsidRPr="00C13DB0">
        <w:rPr>
          <w:rFonts w:ascii="FrankRuehl" w:hAnsi="FrankRuehl" w:cs="FrankRuehl" w:hint="cs"/>
          <w:noProof w:val="0"/>
          <w:sz w:val="26"/>
          <w:szCs w:val="26"/>
          <w:rtl/>
        </w:rPr>
        <w:t xml:space="preserve"> לא רק שאין לאכוף תניית שיפוט ייחודית, אלא שעל בית המשפט להימנע מלעשות שימוש בסמכות המוקנית לו בדין, למרות חובתו לעשות כן (לעניין אחרון זה, ר', </w:t>
      </w:r>
      <w:r w:rsidR="00C13DB0" w:rsidRPr="00C13DB0">
        <w:rPr>
          <w:rFonts w:ascii="FrankRuehl" w:hAnsi="FrankRuehl" w:cs="FrankRuehl" w:hint="cs"/>
          <w:noProof w:val="0"/>
          <w:sz w:val="26"/>
          <w:szCs w:val="26"/>
          <w:rtl/>
        </w:rPr>
        <w:t xml:space="preserve">משל, </w:t>
      </w:r>
      <w:r w:rsidR="00C13DB0" w:rsidRPr="00C13DB0">
        <w:rPr>
          <w:rFonts w:ascii="FrankRuehl" w:hAnsi="FrankRuehl" w:cs="FrankRuehl"/>
          <w:noProof w:val="0"/>
          <w:sz w:val="26"/>
          <w:szCs w:val="26"/>
          <w:rtl/>
        </w:rPr>
        <w:t>רע"א 928/18 </w:t>
      </w:r>
      <w:r w:rsidR="00C13DB0" w:rsidRPr="00C13DB0">
        <w:rPr>
          <w:rFonts w:ascii="FrankRuehl" w:hAnsi="FrankRuehl" w:cs="FrankRuehl"/>
          <w:noProof w:val="0"/>
          <w:sz w:val="26"/>
          <w:szCs w:val="26"/>
        </w:rPr>
        <w:t xml:space="preserve">De Neef </w:t>
      </w:r>
      <w:r w:rsidR="00C13DB0" w:rsidRPr="00C13DB0">
        <w:rPr>
          <w:rFonts w:ascii="FrankRuehl" w:hAnsi="FrankRuehl" w:cs="FrankRuehl"/>
          <w:b/>
          <w:bCs/>
          <w:noProof w:val="0"/>
        </w:rPr>
        <w:t xml:space="preserve">Construction Chemicals BVBA </w:t>
      </w:r>
      <w:r w:rsidR="00C13DB0" w:rsidRPr="00C13DB0">
        <w:rPr>
          <w:rFonts w:ascii="FrankRuehl" w:hAnsi="FrankRuehl" w:cs="FrankRuehl" w:hint="cs"/>
          <w:b/>
          <w:bCs/>
          <w:noProof w:val="0"/>
          <w:sz w:val="26"/>
          <w:szCs w:val="26"/>
          <w:rtl/>
        </w:rPr>
        <w:t xml:space="preserve"> </w:t>
      </w:r>
      <w:r w:rsidR="00C13DB0" w:rsidRPr="00C13DB0">
        <w:rPr>
          <w:rFonts w:ascii="FrankRuehl" w:hAnsi="FrankRuehl" w:cs="FrankRuehl"/>
          <w:b/>
          <w:bCs/>
          <w:noProof w:val="0"/>
          <w:sz w:val="26"/>
          <w:szCs w:val="26"/>
          <w:rtl/>
        </w:rPr>
        <w:t>נ' גילאר בע"מ</w:t>
      </w:r>
      <w:r w:rsidR="00C13DB0" w:rsidRPr="00C13DB0">
        <w:rPr>
          <w:rFonts w:ascii="FrankRuehl" w:hAnsi="FrankRuehl" w:cs="FrankRuehl"/>
          <w:noProof w:val="0"/>
          <w:sz w:val="26"/>
          <w:szCs w:val="26"/>
          <w:rtl/>
        </w:rPr>
        <w:t> (15.05.2018)</w:t>
      </w:r>
      <w:r w:rsidR="00C13DB0" w:rsidRPr="00C13DB0">
        <w:rPr>
          <w:rFonts w:ascii="FrankRuehl" w:hAnsi="FrankRuehl" w:cs="FrankRuehl" w:hint="cs"/>
          <w:noProof w:val="0"/>
          <w:sz w:val="26"/>
          <w:szCs w:val="26"/>
          <w:rtl/>
        </w:rPr>
        <w:t xml:space="preserve"> )</w:t>
      </w:r>
      <w:r w:rsidR="00D40244" w:rsidRPr="00C13DB0">
        <w:rPr>
          <w:rFonts w:ascii="FrankRuehl" w:hAnsi="FrankRuehl" w:cs="FrankRuehl" w:hint="cs"/>
          <w:noProof w:val="0"/>
          <w:sz w:val="26"/>
          <w:szCs w:val="26"/>
          <w:rtl/>
        </w:rPr>
        <w:t xml:space="preserve">. </w:t>
      </w:r>
      <w:r w:rsidR="00C13DB0">
        <w:rPr>
          <w:rFonts w:ascii="FrankRuehl" w:hAnsi="FrankRuehl" w:cs="FrankRuehl" w:hint="cs"/>
          <w:noProof w:val="0"/>
          <w:color w:val="000000"/>
          <w:sz w:val="26"/>
          <w:szCs w:val="26"/>
          <w:rtl/>
        </w:rPr>
        <w:t>בנסיבות כאלה, קבלת טענת פורום לא נאות, תחייב להניח טעמים מכריעים.</w:t>
      </w:r>
    </w:p>
    <w:p w:rsidR="00DA3D72" w:rsidRPr="00C13DB0" w:rsidRDefault="008F7BA9" w:rsidP="004F65CE">
      <w:pPr>
        <w:pStyle w:val="ad"/>
        <w:numPr>
          <w:ilvl w:val="0"/>
          <w:numId w:val="1"/>
        </w:numPr>
        <w:spacing w:after="240" w:line="360" w:lineRule="auto"/>
        <w:contextualSpacing w:val="0"/>
        <w:jc w:val="both"/>
        <w:rPr>
          <w:rFonts w:ascii="FrankRuehl" w:hAnsi="FrankRuehl" w:cs="FrankRuehl"/>
          <w:noProof w:val="0"/>
          <w:color w:val="000000"/>
          <w:sz w:val="26"/>
          <w:szCs w:val="26"/>
        </w:rPr>
      </w:pPr>
      <w:r>
        <w:rPr>
          <w:rFonts w:ascii="FrankRuehl" w:hAnsi="FrankRuehl" w:cs="FrankRuehl" w:hint="cs"/>
          <w:noProof w:val="0"/>
          <w:color w:val="000000"/>
          <w:sz w:val="26"/>
          <w:szCs w:val="26"/>
          <w:rtl/>
        </w:rPr>
        <w:t>אין חולק</w:t>
      </w:r>
      <w:r w:rsidR="00DA3D72">
        <w:rPr>
          <w:rFonts w:ascii="FrankRuehl" w:hAnsi="FrankRuehl" w:cs="FrankRuehl" w:hint="cs"/>
          <w:noProof w:val="0"/>
          <w:color w:val="000000"/>
          <w:sz w:val="26"/>
          <w:szCs w:val="26"/>
          <w:rtl/>
        </w:rPr>
        <w:t xml:space="preserve">, שהנתבעת חתמה על הסכמי </w:t>
      </w:r>
      <w:r w:rsidR="00DA3D72" w:rsidRPr="00DA3D72">
        <w:rPr>
          <w:rFonts w:ascii="FrankRuehl" w:hAnsi="FrankRuehl" w:cs="FrankRuehl"/>
          <w:noProof w:val="0"/>
          <w:color w:val="000000"/>
          <w:sz w:val="22"/>
          <w:szCs w:val="22"/>
        </w:rPr>
        <w:t>NDA</w:t>
      </w:r>
      <w:r w:rsidR="00DA3D72">
        <w:rPr>
          <w:rFonts w:ascii="FrankRuehl" w:hAnsi="FrankRuehl" w:cs="FrankRuehl" w:hint="cs"/>
          <w:noProof w:val="0"/>
          <w:color w:val="000000"/>
          <w:sz w:val="26"/>
          <w:szCs w:val="26"/>
          <w:rtl/>
        </w:rPr>
        <w:t xml:space="preserve"> ובהם תניית שיפוט ייחודית בישראל (נספח 23 לתצהיר התובע</w:t>
      </w:r>
      <w:r>
        <w:rPr>
          <w:rFonts w:ascii="FrankRuehl" w:hAnsi="FrankRuehl" w:cs="FrankRuehl" w:hint="cs"/>
          <w:noProof w:val="0"/>
          <w:color w:val="000000"/>
          <w:sz w:val="26"/>
          <w:szCs w:val="26"/>
          <w:rtl/>
        </w:rPr>
        <w:t>, סעיף 45 לתצהיר הנתבעת</w:t>
      </w:r>
      <w:r w:rsidR="00DA3D72">
        <w:rPr>
          <w:rFonts w:ascii="FrankRuehl" w:hAnsi="FrankRuehl" w:cs="FrankRuehl" w:hint="cs"/>
          <w:noProof w:val="0"/>
          <w:color w:val="000000"/>
          <w:sz w:val="26"/>
          <w:szCs w:val="26"/>
          <w:rtl/>
        </w:rPr>
        <w:t>). טענת הנתבעת, לפיה התובע הוא שניסח את הסכמי</w:t>
      </w:r>
      <w:r w:rsidR="004C38D4">
        <w:rPr>
          <w:rFonts w:ascii="FrankRuehl" w:hAnsi="FrankRuehl" w:cs="FrankRuehl" w:hint="cs"/>
          <w:noProof w:val="0"/>
          <w:color w:val="000000"/>
          <w:sz w:val="26"/>
          <w:szCs w:val="26"/>
          <w:rtl/>
        </w:rPr>
        <w:t xml:space="preserve"> ה- </w:t>
      </w:r>
      <w:r w:rsidR="004C38D4" w:rsidRPr="00DA3D72">
        <w:rPr>
          <w:rFonts w:ascii="FrankRuehl" w:hAnsi="FrankRuehl" w:cs="FrankRuehl"/>
          <w:noProof w:val="0"/>
          <w:color w:val="000000"/>
          <w:sz w:val="22"/>
          <w:szCs w:val="22"/>
        </w:rPr>
        <w:t>NDA</w:t>
      </w:r>
      <w:r w:rsidR="00DA3D72">
        <w:rPr>
          <w:rFonts w:ascii="FrankRuehl" w:hAnsi="FrankRuehl" w:cs="FrankRuehl" w:hint="cs"/>
          <w:noProof w:val="0"/>
          <w:color w:val="000000"/>
          <w:sz w:val="26"/>
          <w:szCs w:val="26"/>
          <w:rtl/>
        </w:rPr>
        <w:t>, לא נושאת עמה משקל רב. בסופו של יום</w:t>
      </w:r>
      <w:r w:rsidR="004C38D4">
        <w:rPr>
          <w:rFonts w:ascii="FrankRuehl" w:hAnsi="FrankRuehl" w:cs="FrankRuehl" w:hint="cs"/>
          <w:noProof w:val="0"/>
          <w:color w:val="000000"/>
          <w:sz w:val="26"/>
          <w:szCs w:val="26"/>
          <w:rtl/>
        </w:rPr>
        <w:t>,</w:t>
      </w:r>
      <w:r w:rsidR="00DA3D72">
        <w:rPr>
          <w:rFonts w:ascii="FrankRuehl" w:hAnsi="FrankRuehl" w:cs="FrankRuehl" w:hint="cs"/>
          <w:noProof w:val="0"/>
          <w:color w:val="000000"/>
          <w:sz w:val="26"/>
          <w:szCs w:val="26"/>
          <w:rtl/>
        </w:rPr>
        <w:t xml:space="preserve"> ה</w:t>
      </w:r>
      <w:r w:rsidR="00FF7A2A">
        <w:rPr>
          <w:rFonts w:ascii="FrankRuehl" w:hAnsi="FrankRuehl" w:cs="FrankRuehl" w:hint="cs"/>
          <w:noProof w:val="0"/>
          <w:color w:val="000000"/>
          <w:sz w:val="26"/>
          <w:szCs w:val="26"/>
          <w:rtl/>
        </w:rPr>
        <w:t xml:space="preserve">נתבעת חתמה על ההסכמים, וממילא הסכימה לתניית השיפוט. </w:t>
      </w:r>
      <w:r w:rsidR="00FF7A2A">
        <w:rPr>
          <w:rFonts w:ascii="FrankRuehl" w:hAnsi="FrankRuehl" w:cs="FrankRuehl" w:hint="cs"/>
          <w:noProof w:val="0"/>
          <w:color w:val="000000"/>
          <w:sz w:val="26"/>
          <w:szCs w:val="26"/>
          <w:rtl/>
        </w:rPr>
        <w:lastRenderedPageBreak/>
        <w:t>עובדה זו מחזקת ביתר שאת את המסקנה, שתניית שיפוט בישראל לא הייתה חריגה</w:t>
      </w:r>
      <w:r w:rsidR="004F65CE">
        <w:rPr>
          <w:rFonts w:ascii="FrankRuehl" w:hAnsi="FrankRuehl" w:cs="FrankRuehl" w:hint="cs"/>
          <w:noProof w:val="0"/>
          <w:color w:val="000000"/>
          <w:sz w:val="26"/>
          <w:szCs w:val="26"/>
          <w:rtl/>
        </w:rPr>
        <w:t xml:space="preserve"> בנוף ההסכמי של הצדדים</w:t>
      </w:r>
      <w:r w:rsidR="00FF7A2A">
        <w:rPr>
          <w:rFonts w:ascii="FrankRuehl" w:hAnsi="FrankRuehl" w:cs="FrankRuehl" w:hint="cs"/>
          <w:noProof w:val="0"/>
          <w:color w:val="000000"/>
          <w:sz w:val="26"/>
          <w:szCs w:val="26"/>
          <w:rtl/>
        </w:rPr>
        <w:t xml:space="preserve">, </w:t>
      </w:r>
      <w:r w:rsidR="004F65CE">
        <w:rPr>
          <w:rFonts w:ascii="FrankRuehl" w:hAnsi="FrankRuehl" w:cs="FrankRuehl" w:hint="cs"/>
          <w:noProof w:val="0"/>
          <w:color w:val="000000"/>
          <w:sz w:val="26"/>
          <w:szCs w:val="26"/>
          <w:rtl/>
        </w:rPr>
        <w:t>ונראתה ל</w:t>
      </w:r>
      <w:r w:rsidR="00FF7A2A">
        <w:rPr>
          <w:rFonts w:ascii="FrankRuehl" w:hAnsi="FrankRuehl" w:cs="FrankRuehl" w:hint="cs"/>
          <w:noProof w:val="0"/>
          <w:color w:val="000000"/>
          <w:sz w:val="26"/>
          <w:szCs w:val="26"/>
          <w:rtl/>
        </w:rPr>
        <w:t>נתבעת ה</w:t>
      </w:r>
      <w:r w:rsidR="004F65CE">
        <w:rPr>
          <w:rFonts w:ascii="FrankRuehl" w:hAnsi="FrankRuehl" w:cs="FrankRuehl" w:hint="cs"/>
          <w:noProof w:val="0"/>
          <w:color w:val="000000"/>
          <w:sz w:val="26"/>
          <w:szCs w:val="26"/>
          <w:rtl/>
        </w:rPr>
        <w:t>גיונית ביחסים חוזיים</w:t>
      </w:r>
      <w:r w:rsidR="00FF7A2A">
        <w:rPr>
          <w:rFonts w:ascii="FrankRuehl" w:hAnsi="FrankRuehl" w:cs="FrankRuehl" w:hint="cs"/>
          <w:noProof w:val="0"/>
          <w:color w:val="000000"/>
          <w:sz w:val="26"/>
          <w:szCs w:val="26"/>
          <w:rtl/>
        </w:rPr>
        <w:t>.</w:t>
      </w:r>
    </w:p>
    <w:p w:rsidR="00D11E8B" w:rsidRDefault="00637FCB" w:rsidP="00637FCB">
      <w:pPr>
        <w:pStyle w:val="ad"/>
        <w:numPr>
          <w:ilvl w:val="0"/>
          <w:numId w:val="1"/>
        </w:numPr>
        <w:spacing w:after="240" w:line="360" w:lineRule="auto"/>
        <w:contextualSpacing w:val="0"/>
        <w:jc w:val="both"/>
        <w:rPr>
          <w:rFonts w:ascii="FrankRuehl" w:hAnsi="FrankRuehl" w:cs="FrankRuehl"/>
          <w:color w:val="000000"/>
          <w:sz w:val="26"/>
          <w:szCs w:val="26"/>
        </w:rPr>
      </w:pPr>
      <w:r>
        <w:rPr>
          <w:rFonts w:ascii="FrankRuehl" w:hAnsi="FrankRuehl" w:cs="FrankRuehl" w:hint="cs"/>
          <w:color w:val="000000"/>
          <w:sz w:val="26"/>
          <w:szCs w:val="26"/>
          <w:rtl/>
        </w:rPr>
        <w:t xml:space="preserve">המסקנה עד הנה </w:t>
      </w:r>
      <w:r>
        <w:rPr>
          <w:rFonts w:ascii="FrankRuehl" w:hAnsi="FrankRuehl" w:cs="FrankRuehl"/>
          <w:color w:val="000000"/>
          <w:sz w:val="26"/>
          <w:szCs w:val="26"/>
          <w:rtl/>
        </w:rPr>
        <w:t>–</w:t>
      </w:r>
      <w:r>
        <w:rPr>
          <w:rFonts w:ascii="FrankRuehl" w:hAnsi="FrankRuehl" w:cs="FrankRuehl" w:hint="cs"/>
          <w:color w:val="000000"/>
          <w:sz w:val="26"/>
          <w:szCs w:val="26"/>
          <w:rtl/>
        </w:rPr>
        <w:t xml:space="preserve"> לא הונחו טעמים, שיש בהם כדי </w:t>
      </w:r>
      <w:r w:rsidR="00D11E8B">
        <w:rPr>
          <w:rFonts w:ascii="FrankRuehl" w:hAnsi="FrankRuehl" w:cs="FrankRuehl" w:hint="cs"/>
          <w:color w:val="000000"/>
          <w:sz w:val="26"/>
          <w:szCs w:val="26"/>
          <w:rtl/>
        </w:rPr>
        <w:t>ל</w:t>
      </w:r>
      <w:r w:rsidR="00450F66">
        <w:rPr>
          <w:rFonts w:ascii="FrankRuehl" w:hAnsi="FrankRuehl" w:cs="FrankRuehl" w:hint="cs"/>
          <w:color w:val="000000"/>
          <w:sz w:val="26"/>
          <w:szCs w:val="26"/>
          <w:rtl/>
        </w:rPr>
        <w:t>שכנע</w:t>
      </w:r>
      <w:r>
        <w:rPr>
          <w:rFonts w:ascii="FrankRuehl" w:hAnsi="FrankRuehl" w:cs="FrankRuehl" w:hint="cs"/>
          <w:color w:val="000000"/>
          <w:sz w:val="26"/>
          <w:szCs w:val="26"/>
          <w:rtl/>
        </w:rPr>
        <w:t>,</w:t>
      </w:r>
      <w:r w:rsidR="00450F66">
        <w:rPr>
          <w:rFonts w:ascii="FrankRuehl" w:hAnsi="FrankRuehl" w:cs="FrankRuehl" w:hint="cs"/>
          <w:color w:val="000000"/>
          <w:sz w:val="26"/>
          <w:szCs w:val="26"/>
          <w:rtl/>
        </w:rPr>
        <w:t xml:space="preserve"> שבית משפט זה אינו הפורום הנאות להכרעה בתובענה</w:t>
      </w:r>
      <w:r w:rsidR="00D11E8B">
        <w:rPr>
          <w:rFonts w:ascii="FrankRuehl" w:hAnsi="FrankRuehl" w:cs="FrankRuehl" w:hint="cs"/>
          <w:color w:val="000000"/>
          <w:sz w:val="26"/>
          <w:szCs w:val="26"/>
          <w:rtl/>
        </w:rPr>
        <w:t>.</w:t>
      </w:r>
    </w:p>
    <w:p w:rsidR="00A24EC5" w:rsidRPr="00A24EC5" w:rsidRDefault="00A24EC5" w:rsidP="00A24EC5">
      <w:pPr>
        <w:spacing w:after="240" w:line="360" w:lineRule="auto"/>
        <w:jc w:val="both"/>
        <w:rPr>
          <w:rFonts w:ascii="Miriam" w:hAnsi="Miriam" w:cs="Miriam"/>
          <w:color w:val="000000"/>
        </w:rPr>
      </w:pPr>
      <w:r w:rsidRPr="00A24EC5">
        <w:rPr>
          <w:rFonts w:ascii="Miriam" w:hAnsi="Miriam" w:cs="Miriam"/>
          <w:color w:val="000000"/>
          <w:rtl/>
        </w:rPr>
        <w:t>אכיפת ההסכם</w:t>
      </w:r>
    </w:p>
    <w:p w:rsidR="001C75AD" w:rsidRDefault="00450F66" w:rsidP="004572E0">
      <w:pPr>
        <w:pStyle w:val="ad"/>
        <w:numPr>
          <w:ilvl w:val="0"/>
          <w:numId w:val="1"/>
        </w:numPr>
        <w:spacing w:after="240" w:line="360" w:lineRule="auto"/>
        <w:contextualSpacing w:val="0"/>
        <w:jc w:val="both"/>
        <w:rPr>
          <w:rFonts w:ascii="FrankRuehl" w:hAnsi="FrankRuehl" w:cs="FrankRuehl"/>
          <w:color w:val="000000"/>
          <w:sz w:val="26"/>
          <w:szCs w:val="26"/>
        </w:rPr>
      </w:pPr>
      <w:r w:rsidRPr="00BD38ED">
        <w:rPr>
          <w:rFonts w:ascii="FrankRuehl" w:hAnsi="FrankRuehl" w:cs="FrankRuehl" w:hint="cs"/>
          <w:color w:val="000000"/>
          <w:sz w:val="26"/>
          <w:szCs w:val="26"/>
          <w:rtl/>
        </w:rPr>
        <w:t>לטענת הנתבעת, אין לאכוף את ההסכם, לנוכח "</w:t>
      </w:r>
      <w:r w:rsidRPr="00BD38ED">
        <w:rPr>
          <w:rFonts w:ascii="FrankRuehl" w:hAnsi="FrankRuehl" w:cs="FrankRuehl" w:hint="cs"/>
          <w:b/>
          <w:bCs/>
          <w:color w:val="000000"/>
          <w:sz w:val="26"/>
          <w:szCs w:val="26"/>
          <w:rtl/>
        </w:rPr>
        <w:t>חוסר ההגיון של ההסכם והיותו בלתי מוסרי וחד צדדי באופן קיצוני</w:t>
      </w:r>
      <w:r w:rsidRPr="00BD38ED">
        <w:rPr>
          <w:rFonts w:ascii="FrankRuehl" w:hAnsi="FrankRuehl" w:cs="FrankRuehl" w:hint="cs"/>
          <w:color w:val="000000"/>
          <w:sz w:val="26"/>
          <w:szCs w:val="26"/>
          <w:rtl/>
        </w:rPr>
        <w:t>" (סעיף 40 לסיכומי הנתבעת)</w:t>
      </w:r>
      <w:r w:rsidR="001A550C" w:rsidRPr="00BD38ED">
        <w:rPr>
          <w:rFonts w:ascii="FrankRuehl" w:hAnsi="FrankRuehl" w:cs="FrankRuehl" w:hint="cs"/>
          <w:color w:val="000000"/>
          <w:sz w:val="26"/>
          <w:szCs w:val="26"/>
          <w:rtl/>
        </w:rPr>
        <w:t>.</w:t>
      </w:r>
      <w:r w:rsidR="000D0FD3" w:rsidRPr="00BD38ED">
        <w:rPr>
          <w:rFonts w:ascii="FrankRuehl" w:hAnsi="FrankRuehl" w:cs="FrankRuehl" w:hint="cs"/>
          <w:color w:val="000000"/>
          <w:sz w:val="26"/>
          <w:szCs w:val="26"/>
          <w:rtl/>
        </w:rPr>
        <w:t xml:space="preserve"> הגיונו של </w:t>
      </w:r>
      <w:r w:rsidR="00307A53">
        <w:rPr>
          <w:rFonts w:ascii="FrankRuehl" w:hAnsi="FrankRuehl" w:cs="FrankRuehl" w:hint="cs"/>
          <w:color w:val="000000"/>
          <w:sz w:val="26"/>
          <w:szCs w:val="26"/>
          <w:rtl/>
        </w:rPr>
        <w:t>חוזה</w:t>
      </w:r>
      <w:r w:rsidR="002115A0" w:rsidRPr="00BD38ED">
        <w:rPr>
          <w:rFonts w:ascii="FrankRuehl" w:hAnsi="FrankRuehl" w:cs="FrankRuehl" w:hint="cs"/>
          <w:color w:val="000000"/>
          <w:sz w:val="26"/>
          <w:szCs w:val="26"/>
          <w:rtl/>
        </w:rPr>
        <w:t xml:space="preserve"> אינו עניין לבית המשפט לענות בו</w:t>
      </w:r>
      <w:r w:rsidR="00362F37" w:rsidRPr="00BD38ED">
        <w:rPr>
          <w:rFonts w:ascii="FrankRuehl" w:hAnsi="FrankRuehl" w:cs="FrankRuehl" w:hint="cs"/>
          <w:color w:val="000000"/>
          <w:sz w:val="26"/>
          <w:szCs w:val="26"/>
          <w:rtl/>
        </w:rPr>
        <w:t>, אלא אם מוכחת עילה בדין</w:t>
      </w:r>
      <w:r w:rsidR="004572E0">
        <w:rPr>
          <w:rFonts w:ascii="FrankRuehl" w:hAnsi="FrankRuehl" w:cs="FrankRuehl" w:hint="cs"/>
          <w:color w:val="000000"/>
          <w:sz w:val="26"/>
          <w:szCs w:val="26"/>
          <w:rtl/>
        </w:rPr>
        <w:t>,</w:t>
      </w:r>
      <w:r w:rsidR="00362F37" w:rsidRPr="00BD38ED">
        <w:rPr>
          <w:rFonts w:ascii="FrankRuehl" w:hAnsi="FrankRuehl" w:cs="FrankRuehl" w:hint="cs"/>
          <w:color w:val="000000"/>
          <w:sz w:val="26"/>
          <w:szCs w:val="26"/>
          <w:rtl/>
        </w:rPr>
        <w:t xml:space="preserve"> לה</w:t>
      </w:r>
      <w:r w:rsidR="000D0FD3" w:rsidRPr="00BD38ED">
        <w:rPr>
          <w:rFonts w:ascii="FrankRuehl" w:hAnsi="FrankRuehl" w:cs="FrankRuehl" w:hint="cs"/>
          <w:color w:val="000000"/>
          <w:sz w:val="26"/>
          <w:szCs w:val="26"/>
          <w:rtl/>
        </w:rPr>
        <w:t>תערב ביחסים החוזיים. הנתבעת טוענת, שיש להימנע מאכיפת ההסכם, לנוכח הוראת סעיף 3(4)</w:t>
      </w:r>
      <w:r w:rsidR="00461962" w:rsidRPr="00BD38ED">
        <w:rPr>
          <w:rFonts w:ascii="FrankRuehl" w:hAnsi="FrankRuehl" w:cs="FrankRuehl" w:hint="cs"/>
          <w:color w:val="000000"/>
          <w:sz w:val="26"/>
          <w:szCs w:val="26"/>
          <w:rtl/>
        </w:rPr>
        <w:t xml:space="preserve"> לחוק החוזים תרופות</w:t>
      </w:r>
      <w:r w:rsidR="00362F37" w:rsidRPr="00BD38ED">
        <w:rPr>
          <w:rFonts w:ascii="FrankRuehl" w:hAnsi="FrankRuehl" w:cs="FrankRuehl" w:hint="cs"/>
          <w:color w:val="000000"/>
          <w:sz w:val="26"/>
          <w:szCs w:val="26"/>
          <w:rtl/>
        </w:rPr>
        <w:t>, שעניינו אכיפה לא צודקת.</w:t>
      </w:r>
      <w:r w:rsidR="00310E18">
        <w:rPr>
          <w:rFonts w:ascii="FrankRuehl" w:hAnsi="FrankRuehl" w:cs="FrankRuehl" w:hint="cs"/>
          <w:color w:val="000000"/>
          <w:sz w:val="26"/>
          <w:szCs w:val="26"/>
          <w:rtl/>
        </w:rPr>
        <w:t xml:space="preserve"> אין בידי לקבל את הטענה. </w:t>
      </w:r>
      <w:r w:rsidR="00017537" w:rsidRPr="00BD38ED">
        <w:rPr>
          <w:rFonts w:ascii="FrankRuehl" w:hAnsi="FrankRuehl" w:cs="FrankRuehl" w:hint="cs"/>
          <w:color w:val="000000"/>
          <w:sz w:val="26"/>
          <w:szCs w:val="26"/>
          <w:rtl/>
        </w:rPr>
        <w:t>לא זו בלבד שעילה זו פורשה פרשנות צרה, אלא שלא ניתן ל</w:t>
      </w:r>
      <w:r w:rsidR="004572E0">
        <w:rPr>
          <w:rFonts w:ascii="FrankRuehl" w:hAnsi="FrankRuehl" w:cs="FrankRuehl" w:hint="cs"/>
          <w:color w:val="000000"/>
          <w:sz w:val="26"/>
          <w:szCs w:val="26"/>
          <w:rtl/>
        </w:rPr>
        <w:t>בסס אותה</w:t>
      </w:r>
      <w:r w:rsidR="00017537" w:rsidRPr="00BD38ED">
        <w:rPr>
          <w:rFonts w:ascii="FrankRuehl" w:hAnsi="FrankRuehl" w:cs="FrankRuehl" w:hint="cs"/>
          <w:color w:val="000000"/>
          <w:sz w:val="26"/>
          <w:szCs w:val="26"/>
          <w:rtl/>
        </w:rPr>
        <w:t xml:space="preserve"> על תנאי ההסכם גופו </w:t>
      </w:r>
      <w:r w:rsidR="00BD38ED" w:rsidRPr="00BD38ED">
        <w:rPr>
          <w:rFonts w:ascii="FrankRuehl" w:hAnsi="FrankRuehl" w:cs="FrankRuehl" w:hint="cs"/>
          <w:color w:val="000000"/>
          <w:spacing w:val="10"/>
          <w:sz w:val="28"/>
          <w:szCs w:val="28"/>
          <w:shd w:val="clear" w:color="auto" w:fill="FFFFFF"/>
          <w:rtl/>
        </w:rPr>
        <w:t>(</w:t>
      </w:r>
      <w:r w:rsidR="00017537" w:rsidRPr="00BD38ED">
        <w:rPr>
          <w:rFonts w:ascii="Miriam" w:hAnsi="Miriam" w:cs="Miriam"/>
          <w:spacing w:val="10"/>
          <w:sz w:val="22"/>
          <w:szCs w:val="22"/>
          <w:shd w:val="clear" w:color="auto" w:fill="FFFFFF"/>
          <w:rtl/>
        </w:rPr>
        <w:t>עתירת המפר לשלול מן הנפגע את סעד האכיפה מטעמים של צדק על פי </w:t>
      </w:r>
      <w:hyperlink r:id="rId12" w:tgtFrame="blank" w:history="1">
        <w:r w:rsidR="00017537" w:rsidRPr="00BD38ED">
          <w:rPr>
            <w:rStyle w:val="Hyperlink"/>
            <w:rFonts w:ascii="Miriam" w:hAnsi="Miriam" w:cs="Miriam"/>
            <w:color w:val="auto"/>
            <w:spacing w:val="10"/>
            <w:sz w:val="22"/>
            <w:szCs w:val="22"/>
            <w:u w:val="none"/>
            <w:shd w:val="clear" w:color="auto" w:fill="FFFFFF"/>
            <w:rtl/>
          </w:rPr>
          <w:t>סעיף 3</w:t>
        </w:r>
        <w:r w:rsidR="00017537" w:rsidRPr="00BD38ED">
          <w:rPr>
            <w:rStyle w:val="Hyperlink"/>
            <w:rFonts w:ascii="Miriam" w:hAnsi="Miriam" w:cs="Miriam"/>
            <w:color w:val="auto"/>
            <w:spacing w:val="10"/>
            <w:sz w:val="22"/>
            <w:szCs w:val="22"/>
            <w:u w:val="none"/>
            <w:shd w:val="clear" w:color="auto" w:fill="FFFFFF"/>
          </w:rPr>
          <w:t>(4)</w:t>
        </w:r>
      </w:hyperlink>
      <w:r w:rsidR="00017537" w:rsidRPr="00BD38ED">
        <w:rPr>
          <w:rFonts w:ascii="Miriam" w:hAnsi="Miriam" w:cs="Miriam"/>
          <w:spacing w:val="10"/>
          <w:sz w:val="22"/>
          <w:szCs w:val="22"/>
          <w:shd w:val="clear" w:color="auto" w:fill="FFFFFF"/>
        </w:rPr>
        <w:t> </w:t>
      </w:r>
      <w:r w:rsidR="00017537" w:rsidRPr="00BD38ED">
        <w:rPr>
          <w:rFonts w:ascii="Miriam" w:hAnsi="Miriam" w:cs="Miriam"/>
          <w:spacing w:val="10"/>
          <w:sz w:val="22"/>
          <w:szCs w:val="22"/>
          <w:shd w:val="clear" w:color="auto" w:fill="FFFFFF"/>
          <w:rtl/>
        </w:rPr>
        <w:t>ל</w:t>
      </w:r>
      <w:hyperlink r:id="rId13" w:tgtFrame="blank" w:history="1">
        <w:r w:rsidR="00017537" w:rsidRPr="00BD38ED">
          <w:rPr>
            <w:rStyle w:val="Hyperlink"/>
            <w:rFonts w:ascii="Miriam" w:hAnsi="Miriam" w:cs="Miriam"/>
            <w:color w:val="auto"/>
            <w:spacing w:val="10"/>
            <w:sz w:val="22"/>
            <w:szCs w:val="22"/>
            <w:u w:val="none"/>
            <w:shd w:val="clear" w:color="auto" w:fill="FFFFFF"/>
            <w:rtl/>
          </w:rPr>
          <w:t>חוק התרופות</w:t>
        </w:r>
      </w:hyperlink>
      <w:r w:rsidR="00017537" w:rsidRPr="00BD38ED">
        <w:rPr>
          <w:rFonts w:ascii="Miriam" w:hAnsi="Miriam" w:cs="Miriam"/>
          <w:spacing w:val="10"/>
          <w:sz w:val="22"/>
          <w:szCs w:val="22"/>
          <w:shd w:val="clear" w:color="auto" w:fill="FFFFFF"/>
        </w:rPr>
        <w:t xml:space="preserve">, </w:t>
      </w:r>
      <w:r w:rsidR="00017537" w:rsidRPr="00BD38ED">
        <w:rPr>
          <w:rFonts w:ascii="Miriam" w:hAnsi="Miriam" w:cs="Miriam"/>
          <w:spacing w:val="10"/>
          <w:sz w:val="22"/>
          <w:szCs w:val="22"/>
          <w:shd w:val="clear" w:color="auto" w:fill="FFFFFF"/>
          <w:rtl/>
        </w:rPr>
        <w:t xml:space="preserve">סומכת עצמה כל כולה על נסיבות שהן </w:t>
      </w:r>
      <w:r w:rsidR="00017537" w:rsidRPr="00307A53">
        <w:rPr>
          <w:rFonts w:ascii="Miriam" w:hAnsi="Miriam" w:cs="Miriam"/>
          <w:spacing w:val="10"/>
          <w:sz w:val="22"/>
          <w:szCs w:val="22"/>
          <w:u w:val="single"/>
          <w:shd w:val="clear" w:color="auto" w:fill="FFFFFF"/>
          <w:rtl/>
        </w:rPr>
        <w:t>חיצוניות</w:t>
      </w:r>
      <w:r w:rsidR="00017537" w:rsidRPr="00BD38ED">
        <w:rPr>
          <w:rFonts w:ascii="Miriam" w:hAnsi="Miriam" w:cs="Miriam"/>
          <w:spacing w:val="10"/>
          <w:sz w:val="22"/>
          <w:szCs w:val="22"/>
          <w:shd w:val="clear" w:color="auto" w:fill="FFFFFF"/>
          <w:rtl/>
        </w:rPr>
        <w:t xml:space="preserve"> לחיובי החוזה</w:t>
      </w:r>
      <w:r w:rsidR="00BD38ED" w:rsidRPr="00BD38ED">
        <w:rPr>
          <w:rFonts w:ascii="FrankRuehl" w:hAnsi="FrankRuehl" w:cs="FrankRuehl" w:hint="cs"/>
          <w:color w:val="000000"/>
          <w:sz w:val="26"/>
          <w:szCs w:val="26"/>
          <w:rtl/>
        </w:rPr>
        <w:t xml:space="preserve"> </w:t>
      </w:r>
      <w:r w:rsidR="00BD38ED" w:rsidRPr="00BD38ED">
        <w:rPr>
          <w:rFonts w:ascii="FrankRuehl" w:hAnsi="FrankRuehl" w:cs="FrankRuehl"/>
          <w:color w:val="000000"/>
          <w:sz w:val="26"/>
          <w:szCs w:val="26"/>
          <w:rtl/>
        </w:rPr>
        <w:t>–</w:t>
      </w:r>
      <w:r w:rsidR="00BD38ED" w:rsidRPr="00BD38ED">
        <w:rPr>
          <w:rFonts w:ascii="FrankRuehl" w:hAnsi="FrankRuehl" w:cs="FrankRuehl" w:hint="cs"/>
          <w:color w:val="000000"/>
          <w:sz w:val="26"/>
          <w:szCs w:val="26"/>
          <w:rtl/>
        </w:rPr>
        <w:t xml:space="preserve"> עניין אזימוב</w:t>
      </w:r>
      <w:r w:rsidR="00307A53">
        <w:rPr>
          <w:rFonts w:ascii="FrankRuehl" w:hAnsi="FrankRuehl" w:cs="FrankRuehl" w:hint="cs"/>
          <w:color w:val="000000"/>
          <w:sz w:val="26"/>
          <w:szCs w:val="26"/>
          <w:rtl/>
        </w:rPr>
        <w:t>, ההדגשה לא במקור</w:t>
      </w:r>
      <w:r w:rsidR="00BD38ED" w:rsidRPr="00BD38ED">
        <w:rPr>
          <w:rFonts w:ascii="FrankRuehl" w:hAnsi="FrankRuehl" w:cs="FrankRuehl" w:hint="cs"/>
          <w:color w:val="000000"/>
          <w:sz w:val="26"/>
          <w:szCs w:val="26"/>
          <w:rtl/>
        </w:rPr>
        <w:t xml:space="preserve">). </w:t>
      </w:r>
    </w:p>
    <w:p w:rsidR="00BC4B4A" w:rsidRDefault="00310E18" w:rsidP="008A22F5">
      <w:pPr>
        <w:pStyle w:val="ad"/>
        <w:numPr>
          <w:ilvl w:val="0"/>
          <w:numId w:val="1"/>
        </w:numPr>
        <w:spacing w:after="240" w:line="360" w:lineRule="auto"/>
        <w:contextualSpacing w:val="0"/>
        <w:jc w:val="both"/>
        <w:rPr>
          <w:rFonts w:ascii="FrankRuehl" w:hAnsi="FrankRuehl" w:cs="FrankRuehl"/>
          <w:color w:val="000000"/>
          <w:sz w:val="26"/>
          <w:szCs w:val="26"/>
        </w:rPr>
      </w:pPr>
      <w:r>
        <w:rPr>
          <w:rFonts w:ascii="FrankRuehl" w:hAnsi="FrankRuehl" w:cs="FrankRuehl" w:hint="cs"/>
          <w:color w:val="000000"/>
          <w:sz w:val="26"/>
          <w:szCs w:val="26"/>
          <w:rtl/>
        </w:rPr>
        <w:t>למעלה מן הצורך</w:t>
      </w:r>
      <w:r w:rsidR="004572E0">
        <w:rPr>
          <w:rFonts w:ascii="FrankRuehl" w:hAnsi="FrankRuehl" w:cs="FrankRuehl" w:hint="cs"/>
          <w:color w:val="000000"/>
          <w:sz w:val="26"/>
          <w:szCs w:val="26"/>
          <w:rtl/>
        </w:rPr>
        <w:t>,</w:t>
      </w:r>
      <w:r>
        <w:rPr>
          <w:rFonts w:ascii="FrankRuehl" w:hAnsi="FrankRuehl" w:cs="FrankRuehl" w:hint="cs"/>
          <w:color w:val="000000"/>
          <w:sz w:val="26"/>
          <w:szCs w:val="26"/>
          <w:rtl/>
        </w:rPr>
        <w:t xml:space="preserve"> אציין, שלא הוכחה טענת הנתבעת, לפיה הרכוש נצבר רק בזכותה, בעוד התובע היה בטלן. יתירה מזו, על</w:t>
      </w:r>
      <w:r w:rsidR="00CB3AFB">
        <w:rPr>
          <w:rFonts w:ascii="FrankRuehl" w:hAnsi="FrankRuehl" w:cs="FrankRuehl" w:hint="cs"/>
          <w:color w:val="000000"/>
          <w:sz w:val="26"/>
          <w:szCs w:val="26"/>
          <w:rtl/>
        </w:rPr>
        <w:t>ה</w:t>
      </w:r>
      <w:r>
        <w:rPr>
          <w:rFonts w:ascii="FrankRuehl" w:hAnsi="FrankRuehl" w:cs="FrankRuehl" w:hint="cs"/>
          <w:color w:val="000000"/>
          <w:sz w:val="26"/>
          <w:szCs w:val="26"/>
          <w:rtl/>
        </w:rPr>
        <w:t xml:space="preserve"> בידי התובע להוכיח, שלפחות ב</w:t>
      </w:r>
      <w:r w:rsidR="006D69D4">
        <w:rPr>
          <w:rFonts w:ascii="FrankRuehl" w:hAnsi="FrankRuehl" w:cs="FrankRuehl" w:hint="cs"/>
          <w:color w:val="000000"/>
          <w:sz w:val="26"/>
          <w:szCs w:val="26"/>
          <w:rtl/>
        </w:rPr>
        <w:t>שנים הראשונות</w:t>
      </w:r>
      <w:r>
        <w:rPr>
          <w:rFonts w:ascii="FrankRuehl" w:hAnsi="FrankRuehl" w:cs="FrankRuehl" w:hint="cs"/>
          <w:color w:val="000000"/>
          <w:sz w:val="26"/>
          <w:szCs w:val="26"/>
          <w:rtl/>
        </w:rPr>
        <w:t xml:space="preserve">, הוא היה </w:t>
      </w:r>
      <w:r w:rsidR="00DF503E">
        <w:rPr>
          <w:rFonts w:ascii="FrankRuehl" w:hAnsi="FrankRuehl" w:cs="FrankRuehl" w:hint="cs"/>
          <w:color w:val="000000"/>
          <w:sz w:val="26"/>
          <w:szCs w:val="26"/>
          <w:rtl/>
        </w:rPr>
        <w:t>המוביל ו</w:t>
      </w:r>
      <w:r w:rsidR="003C053C">
        <w:rPr>
          <w:rFonts w:ascii="FrankRuehl" w:hAnsi="FrankRuehl" w:cs="FrankRuehl" w:hint="cs"/>
          <w:color w:val="000000"/>
          <w:sz w:val="26"/>
          <w:szCs w:val="26"/>
          <w:rtl/>
        </w:rPr>
        <w:t xml:space="preserve">אמון על הצד המדעי-מקצועי, </w:t>
      </w:r>
      <w:r>
        <w:rPr>
          <w:rFonts w:ascii="FrankRuehl" w:hAnsi="FrankRuehl" w:cs="FrankRuehl" w:hint="cs"/>
          <w:color w:val="000000"/>
          <w:sz w:val="26"/>
          <w:szCs w:val="26"/>
          <w:rtl/>
        </w:rPr>
        <w:t xml:space="preserve">בעוד הנתבעת הייתה חסרת ניסיון. </w:t>
      </w:r>
      <w:r w:rsidR="00DF503E">
        <w:rPr>
          <w:rFonts w:ascii="FrankRuehl" w:hAnsi="FrankRuehl" w:cs="FrankRuehl"/>
          <w:color w:val="000000"/>
          <w:sz w:val="26"/>
          <w:szCs w:val="26"/>
          <w:rtl/>
        </w:rPr>
        <w:tab/>
      </w:r>
      <w:r w:rsidR="00DF503E">
        <w:rPr>
          <w:rFonts w:ascii="FrankRuehl" w:hAnsi="FrankRuehl" w:cs="FrankRuehl"/>
          <w:color w:val="000000"/>
          <w:sz w:val="26"/>
          <w:szCs w:val="26"/>
          <w:rtl/>
        </w:rPr>
        <w:br/>
      </w:r>
      <w:r w:rsidR="00DF503E">
        <w:rPr>
          <w:rFonts w:ascii="FrankRuehl" w:hAnsi="FrankRuehl" w:cs="FrankRuehl"/>
          <w:color w:val="000000"/>
          <w:sz w:val="26"/>
          <w:szCs w:val="26"/>
          <w:rtl/>
        </w:rPr>
        <w:br/>
      </w:r>
      <w:r>
        <w:rPr>
          <w:rFonts w:ascii="FrankRuehl" w:hAnsi="FrankRuehl" w:cs="FrankRuehl" w:hint="cs"/>
          <w:color w:val="000000"/>
          <w:sz w:val="26"/>
          <w:szCs w:val="26"/>
          <w:rtl/>
        </w:rPr>
        <w:t>על כך</w:t>
      </w:r>
      <w:r w:rsidR="009358CA">
        <w:rPr>
          <w:rFonts w:ascii="FrankRuehl" w:hAnsi="FrankRuehl" w:cs="FrankRuehl" w:hint="cs"/>
          <w:color w:val="000000"/>
          <w:sz w:val="26"/>
          <w:szCs w:val="26"/>
          <w:rtl/>
        </w:rPr>
        <w:t xml:space="preserve"> </w:t>
      </w:r>
      <w:r w:rsidR="004572E0">
        <w:rPr>
          <w:rFonts w:ascii="FrankRuehl" w:hAnsi="FrankRuehl" w:cs="FrankRuehl" w:hint="cs"/>
          <w:color w:val="000000"/>
          <w:sz w:val="26"/>
          <w:szCs w:val="26"/>
          <w:rtl/>
        </w:rPr>
        <w:t xml:space="preserve">העידו שני עדים אובייקטיביים, שהיו מהימנים עליי: </w:t>
      </w:r>
      <w:r>
        <w:rPr>
          <w:rFonts w:ascii="FrankRuehl" w:hAnsi="FrankRuehl" w:cs="FrankRuehl" w:hint="cs"/>
          <w:color w:val="000000"/>
          <w:sz w:val="26"/>
          <w:szCs w:val="26"/>
          <w:rtl/>
        </w:rPr>
        <w:t>פרופ'</w:t>
      </w:r>
      <w:r w:rsidR="00BC4B4A">
        <w:rPr>
          <w:rFonts w:ascii="FrankRuehl" w:hAnsi="FrankRuehl" w:cs="FrankRuehl" w:hint="cs"/>
          <w:color w:val="000000"/>
          <w:sz w:val="26"/>
          <w:szCs w:val="26"/>
          <w:rtl/>
        </w:rPr>
        <w:t xml:space="preserve"> י</w:t>
      </w:r>
      <w:r w:rsidR="008A22F5">
        <w:rPr>
          <w:rFonts w:ascii="FrankRuehl" w:hAnsi="FrankRuehl" w:cs="FrankRuehl" w:hint="cs"/>
          <w:color w:val="000000"/>
          <w:sz w:val="26"/>
          <w:szCs w:val="26"/>
          <w:rtl/>
        </w:rPr>
        <w:t>'</w:t>
      </w:r>
      <w:r w:rsidR="00BC4B4A">
        <w:rPr>
          <w:rFonts w:ascii="FrankRuehl" w:hAnsi="FrankRuehl" w:cs="FrankRuehl" w:hint="cs"/>
          <w:color w:val="000000"/>
          <w:sz w:val="26"/>
          <w:szCs w:val="26"/>
          <w:rtl/>
        </w:rPr>
        <w:t xml:space="preserve">, </w:t>
      </w:r>
      <w:r w:rsidR="004572E0">
        <w:rPr>
          <w:rFonts w:ascii="FrankRuehl" w:hAnsi="FrankRuehl" w:cs="FrankRuehl" w:hint="cs"/>
          <w:color w:val="000000"/>
          <w:sz w:val="26"/>
          <w:szCs w:val="26"/>
          <w:rtl/>
        </w:rPr>
        <w:t xml:space="preserve">כאמור, איש עסקים </w:t>
      </w:r>
      <w:r w:rsidR="003C053C">
        <w:rPr>
          <w:rFonts w:ascii="FrankRuehl" w:hAnsi="FrankRuehl" w:cs="FrankRuehl" w:hint="cs"/>
          <w:color w:val="000000"/>
          <w:sz w:val="26"/>
          <w:szCs w:val="26"/>
          <w:rtl/>
        </w:rPr>
        <w:t>שס</w:t>
      </w:r>
      <w:r w:rsidR="00CB3AFB">
        <w:rPr>
          <w:rFonts w:ascii="FrankRuehl" w:hAnsi="FrankRuehl" w:cs="FrankRuehl" w:hint="cs"/>
          <w:color w:val="000000"/>
          <w:sz w:val="26"/>
          <w:szCs w:val="26"/>
          <w:rtl/>
        </w:rPr>
        <w:t>ייע לצדדים בסינגפור</w:t>
      </w:r>
      <w:r w:rsidR="004572E0">
        <w:rPr>
          <w:rFonts w:ascii="FrankRuehl" w:hAnsi="FrankRuehl" w:cs="FrankRuehl" w:hint="cs"/>
          <w:color w:val="000000"/>
          <w:sz w:val="26"/>
          <w:szCs w:val="26"/>
          <w:rtl/>
        </w:rPr>
        <w:t xml:space="preserve"> ו</w:t>
      </w:r>
      <w:r w:rsidR="004572E0" w:rsidRPr="00DF503E">
        <w:rPr>
          <w:rFonts w:ascii="FrankRuehl" w:hAnsi="FrankRuehl" w:cs="FrankRuehl" w:hint="cs"/>
          <w:color w:val="000000"/>
          <w:sz w:val="26"/>
          <w:szCs w:val="26"/>
          <w:rtl/>
        </w:rPr>
        <w:t xml:space="preserve">מר </w:t>
      </w:r>
      <w:r w:rsidR="008A22F5">
        <w:rPr>
          <w:rFonts w:ascii="FrankRuehl" w:hAnsi="FrankRuehl" w:cs="FrankRuehl" w:hint="cs"/>
          <w:color w:val="000000"/>
          <w:sz w:val="26"/>
          <w:szCs w:val="26"/>
          <w:rtl/>
        </w:rPr>
        <w:t>פ'</w:t>
      </w:r>
      <w:r w:rsidR="004572E0" w:rsidRPr="00DF503E">
        <w:rPr>
          <w:rFonts w:ascii="FrankRuehl" w:hAnsi="FrankRuehl" w:cs="FrankRuehl" w:hint="cs"/>
          <w:color w:val="000000"/>
          <w:sz w:val="26"/>
          <w:szCs w:val="26"/>
          <w:rtl/>
        </w:rPr>
        <w:t xml:space="preserve">, שעבד עם הצדדים </w:t>
      </w:r>
      <w:r w:rsidR="00144A9B">
        <w:rPr>
          <w:rFonts w:ascii="FrankRuehl" w:hAnsi="FrankRuehl" w:cs="FrankRuehl" w:hint="cs"/>
          <w:color w:val="000000"/>
          <w:sz w:val="26"/>
          <w:szCs w:val="26"/>
          <w:rtl/>
        </w:rPr>
        <w:t xml:space="preserve">בסינגפור </w:t>
      </w:r>
      <w:r w:rsidR="004572E0" w:rsidRPr="00DF503E">
        <w:rPr>
          <w:rFonts w:ascii="FrankRuehl" w:hAnsi="FrankRuehl" w:cs="FrankRuehl" w:hint="cs"/>
          <w:color w:val="000000"/>
          <w:sz w:val="26"/>
          <w:szCs w:val="26"/>
          <w:rtl/>
        </w:rPr>
        <w:t>בשנת 2016</w:t>
      </w:r>
      <w:r w:rsidR="004572E0">
        <w:rPr>
          <w:rFonts w:ascii="FrankRuehl" w:hAnsi="FrankRuehl" w:cs="FrankRuehl" w:hint="cs"/>
          <w:color w:val="000000"/>
          <w:sz w:val="26"/>
          <w:szCs w:val="26"/>
          <w:rtl/>
        </w:rPr>
        <w:t xml:space="preserve">. </w:t>
      </w:r>
      <w:r w:rsidR="004572E0">
        <w:rPr>
          <w:rFonts w:ascii="FrankRuehl" w:hAnsi="FrankRuehl" w:cs="FrankRuehl"/>
          <w:color w:val="000000"/>
          <w:sz w:val="26"/>
          <w:szCs w:val="26"/>
          <w:rtl/>
        </w:rPr>
        <w:tab/>
      </w:r>
      <w:r w:rsidR="004572E0">
        <w:rPr>
          <w:rFonts w:ascii="FrankRuehl" w:hAnsi="FrankRuehl" w:cs="FrankRuehl"/>
          <w:color w:val="000000"/>
          <w:sz w:val="26"/>
          <w:szCs w:val="26"/>
          <w:rtl/>
        </w:rPr>
        <w:br/>
      </w:r>
      <w:r w:rsidR="004572E0">
        <w:rPr>
          <w:rFonts w:ascii="FrankRuehl" w:hAnsi="FrankRuehl" w:cs="FrankRuehl"/>
          <w:color w:val="000000"/>
          <w:sz w:val="26"/>
          <w:szCs w:val="26"/>
          <w:rtl/>
        </w:rPr>
        <w:br/>
      </w:r>
      <w:r w:rsidR="004572E0">
        <w:rPr>
          <w:rFonts w:ascii="FrankRuehl" w:hAnsi="FrankRuehl" w:cs="FrankRuehl" w:hint="cs"/>
          <w:color w:val="000000"/>
          <w:sz w:val="26"/>
          <w:szCs w:val="26"/>
          <w:rtl/>
        </w:rPr>
        <w:t>פורפ' י</w:t>
      </w:r>
      <w:r w:rsidR="008A22F5">
        <w:rPr>
          <w:rFonts w:ascii="FrankRuehl" w:hAnsi="FrankRuehl" w:cs="FrankRuehl" w:hint="cs"/>
          <w:color w:val="000000"/>
          <w:sz w:val="26"/>
          <w:szCs w:val="26"/>
          <w:rtl/>
        </w:rPr>
        <w:t>'</w:t>
      </w:r>
      <w:r w:rsidR="004572E0">
        <w:rPr>
          <w:rFonts w:ascii="FrankRuehl" w:hAnsi="FrankRuehl" w:cs="FrankRuehl" w:hint="cs"/>
          <w:color w:val="000000"/>
          <w:sz w:val="26"/>
          <w:szCs w:val="26"/>
          <w:rtl/>
        </w:rPr>
        <w:t xml:space="preserve"> העיד</w:t>
      </w:r>
      <w:r w:rsidR="00CB3AFB">
        <w:rPr>
          <w:rFonts w:ascii="FrankRuehl" w:hAnsi="FrankRuehl" w:cs="FrankRuehl" w:hint="cs"/>
          <w:color w:val="000000"/>
          <w:sz w:val="26"/>
          <w:szCs w:val="26"/>
          <w:rtl/>
        </w:rPr>
        <w:t xml:space="preserve">, </w:t>
      </w:r>
      <w:r w:rsidR="00BC4B4A">
        <w:rPr>
          <w:rFonts w:ascii="FrankRuehl" w:hAnsi="FrankRuehl" w:cs="FrankRuehl" w:hint="cs"/>
          <w:color w:val="000000"/>
          <w:sz w:val="26"/>
          <w:szCs w:val="26"/>
          <w:rtl/>
        </w:rPr>
        <w:t>לאמור:</w:t>
      </w:r>
    </w:p>
    <w:p w:rsidR="008A22F5" w:rsidRDefault="00CB3AFB" w:rsidP="008A22F5">
      <w:pPr>
        <w:spacing w:after="240" w:line="360" w:lineRule="auto"/>
        <w:ind w:left="567" w:right="284"/>
        <w:jc w:val="both"/>
        <w:rPr>
          <w:rFonts w:ascii="FrankRuehl" w:hAnsi="FrankRuehl" w:cs="FrankRuehl"/>
          <w:color w:val="000000"/>
          <w:sz w:val="26"/>
          <w:szCs w:val="26"/>
          <w:rtl/>
        </w:rPr>
      </w:pPr>
      <w:r>
        <w:rPr>
          <w:rFonts w:hint="cs"/>
          <w:rtl/>
        </w:rPr>
        <w:t>"</w:t>
      </w:r>
      <w:r w:rsidR="00BC4B4A" w:rsidRPr="00DF503E">
        <w:rPr>
          <w:b/>
          <w:bCs/>
          <w:rtl/>
        </w:rPr>
        <w:t>ממה שאני התרשמתי כמעט כל הקטע המדעי היה על כתפיו</w:t>
      </w:r>
      <w:r>
        <w:rPr>
          <w:rFonts w:hint="cs"/>
          <w:rtl/>
        </w:rPr>
        <w:t xml:space="preserve"> </w:t>
      </w:r>
      <w:r w:rsidRPr="006D0C94">
        <w:rPr>
          <w:rFonts w:ascii="FrankRuehl" w:hAnsi="FrankRuehl" w:cs="FrankRuehl" w:hint="cs"/>
          <w:color w:val="000000"/>
          <w:sz w:val="26"/>
          <w:szCs w:val="26"/>
          <w:rtl/>
        </w:rPr>
        <w:t xml:space="preserve">(של התובע </w:t>
      </w:r>
      <w:r w:rsidRPr="006D0C94">
        <w:rPr>
          <w:rFonts w:ascii="FrankRuehl" w:hAnsi="FrankRuehl" w:cs="FrankRuehl"/>
          <w:color w:val="000000"/>
          <w:sz w:val="26"/>
          <w:szCs w:val="26"/>
          <w:rtl/>
        </w:rPr>
        <w:t>–</w:t>
      </w:r>
      <w:r w:rsidRPr="006D0C94">
        <w:rPr>
          <w:rFonts w:ascii="FrankRuehl" w:hAnsi="FrankRuehl" w:cs="FrankRuehl" w:hint="cs"/>
          <w:color w:val="000000"/>
          <w:sz w:val="26"/>
          <w:szCs w:val="26"/>
          <w:rtl/>
        </w:rPr>
        <w:t xml:space="preserve"> שב"י)</w:t>
      </w:r>
      <w:r w:rsidR="00BC4B4A" w:rsidRPr="006D0C94">
        <w:rPr>
          <w:sz w:val="26"/>
          <w:szCs w:val="26"/>
          <w:rtl/>
        </w:rPr>
        <w:t xml:space="preserve">, </w:t>
      </w:r>
      <w:r w:rsidR="00BC4B4A" w:rsidRPr="00DF503E">
        <w:rPr>
          <w:b/>
          <w:bCs/>
          <w:rtl/>
        </w:rPr>
        <w:t>בהחלט.</w:t>
      </w:r>
      <w:r w:rsidR="00BC4B4A" w:rsidRPr="00DF503E">
        <w:rPr>
          <w:rFonts w:hint="cs"/>
          <w:b/>
          <w:bCs/>
          <w:rtl/>
        </w:rPr>
        <w:t>..</w:t>
      </w:r>
      <w:r w:rsidR="00BC4B4A" w:rsidRPr="00DF503E">
        <w:rPr>
          <w:b/>
          <w:bCs/>
          <w:rtl/>
        </w:rPr>
        <w:t xml:space="preserve">היא הייתה בחורה מאוד אינטליגנטית. </w:t>
      </w:r>
      <w:r w:rsidRPr="00DF503E">
        <w:rPr>
          <w:b/>
          <w:bCs/>
          <w:rtl/>
        </w:rPr>
        <w:t>בחורה מאוד נעימה עם המון טעם.</w:t>
      </w:r>
      <w:r w:rsidRPr="00DF503E">
        <w:rPr>
          <w:rFonts w:hint="cs"/>
          <w:b/>
          <w:bCs/>
          <w:rtl/>
        </w:rPr>
        <w:t>..</w:t>
      </w:r>
      <w:r w:rsidR="00BC4B4A" w:rsidRPr="00DF503E">
        <w:rPr>
          <w:b/>
          <w:bCs/>
          <w:rtl/>
        </w:rPr>
        <w:t>אבל לא היה לה בעולם העסקי ובעולם הניהולי לא היה שום מושג. לא הייתה לה לא הכשרה אקדמית ובטח לא בקטע של, לא היה לה גם ניסיון. ואני גם ראיתי את זה במו"מ שעשתה איתי על הנושא של החוזה התקשרות. אתה רואה שבנאדם אין לו, לא יודע איך החיים עובדים עדיין. לא אמרתי שלא אינטליגנטית אבל לא היה לה שום ניסיון.</w:t>
      </w:r>
      <w:r w:rsidR="00BC4B4A" w:rsidRPr="00DF503E">
        <w:rPr>
          <w:rFonts w:hint="cs"/>
          <w:b/>
          <w:bCs/>
          <w:rtl/>
        </w:rPr>
        <w:t>..</w:t>
      </w:r>
      <w:r w:rsidR="00BC4B4A" w:rsidRPr="00DF503E">
        <w:rPr>
          <w:b/>
          <w:bCs/>
          <w:rtl/>
        </w:rPr>
        <w:t xml:space="preserve"> הם חילקו ביניהם את העבודה שיוני אחראי על הטכנולוגיה. היא אחראית על כל הנושא האופרטיבי, לנהל את הפרויקט, לעבוד מול האנשים</w:t>
      </w:r>
      <w:r>
        <w:rPr>
          <w:rFonts w:hint="cs"/>
          <w:rtl/>
        </w:rPr>
        <w:t>"</w:t>
      </w:r>
      <w:r w:rsidR="00BC4B4A" w:rsidRPr="006D0C94">
        <w:rPr>
          <w:rFonts w:ascii="FrankRuehl" w:hAnsi="FrankRuehl" w:cs="FrankRuehl" w:hint="cs"/>
          <w:color w:val="000000"/>
          <w:sz w:val="26"/>
          <w:szCs w:val="26"/>
          <w:rtl/>
        </w:rPr>
        <w:t xml:space="preserve"> (עמ' 80-81)</w:t>
      </w:r>
      <w:r w:rsidR="00DF503E" w:rsidRPr="006D0C94">
        <w:rPr>
          <w:rFonts w:ascii="FrankRuehl" w:hAnsi="FrankRuehl" w:cs="FrankRuehl" w:hint="cs"/>
          <w:color w:val="000000"/>
          <w:sz w:val="26"/>
          <w:szCs w:val="26"/>
          <w:rtl/>
        </w:rPr>
        <w:t>.</w:t>
      </w:r>
      <w:r w:rsidR="00DF503E">
        <w:rPr>
          <w:rtl/>
        </w:rPr>
        <w:tab/>
      </w:r>
      <w:r w:rsidR="00DF503E">
        <w:rPr>
          <w:rtl/>
        </w:rPr>
        <w:br/>
      </w:r>
    </w:p>
    <w:p w:rsidR="00DF503E" w:rsidRDefault="004572E0" w:rsidP="008A22F5">
      <w:pPr>
        <w:spacing w:after="240" w:line="360" w:lineRule="auto"/>
        <w:ind w:left="567" w:right="284"/>
        <w:jc w:val="both"/>
        <w:rPr>
          <w:rtl/>
        </w:rPr>
      </w:pPr>
      <w:r>
        <w:rPr>
          <w:rFonts w:ascii="FrankRuehl" w:hAnsi="FrankRuehl" w:cs="FrankRuehl" w:hint="cs"/>
          <w:color w:val="000000"/>
          <w:sz w:val="26"/>
          <w:szCs w:val="26"/>
          <w:rtl/>
        </w:rPr>
        <w:lastRenderedPageBreak/>
        <w:t>מר פ</w:t>
      </w:r>
      <w:r w:rsidR="008A22F5">
        <w:rPr>
          <w:rFonts w:ascii="FrankRuehl" w:hAnsi="FrankRuehl" w:cs="FrankRuehl" w:hint="cs"/>
          <w:color w:val="000000"/>
          <w:sz w:val="26"/>
          <w:szCs w:val="26"/>
          <w:rtl/>
        </w:rPr>
        <w:t>'</w:t>
      </w:r>
      <w:r w:rsidR="00DF503E" w:rsidRPr="00DF503E">
        <w:rPr>
          <w:rFonts w:ascii="FrankRuehl" w:hAnsi="FrankRuehl" w:cs="FrankRuehl" w:hint="cs"/>
          <w:color w:val="000000"/>
          <w:sz w:val="26"/>
          <w:szCs w:val="26"/>
          <w:rtl/>
        </w:rPr>
        <w:t xml:space="preserve"> הצהיר, לאמור: </w:t>
      </w:r>
    </w:p>
    <w:p w:rsidR="009358CA" w:rsidRDefault="00DF503E" w:rsidP="008A22F5">
      <w:pPr>
        <w:pStyle w:val="af1"/>
        <w:pBdr>
          <w:right w:val="none" w:sz="0" w:space="0" w:color="auto"/>
        </w:pBdr>
        <w:spacing w:line="360" w:lineRule="auto"/>
        <w:ind w:left="567" w:right="284" w:firstLine="0"/>
        <w:jc w:val="both"/>
        <w:rPr>
          <w:sz w:val="24"/>
          <w:szCs w:val="24"/>
          <w:rtl/>
        </w:rPr>
      </w:pPr>
      <w:r w:rsidRPr="00D41656">
        <w:rPr>
          <w:rFonts w:hint="cs"/>
          <w:b/>
          <w:bCs/>
          <w:noProof/>
          <w:spacing w:val="0"/>
          <w:sz w:val="24"/>
          <w:szCs w:val="24"/>
          <w:rtl/>
        </w:rPr>
        <w:t>"</w:t>
      </w:r>
      <w:r w:rsidR="009358CA" w:rsidRPr="00D41656">
        <w:rPr>
          <w:rFonts w:hint="cs"/>
          <w:b/>
          <w:bCs/>
          <w:noProof/>
          <w:spacing w:val="0"/>
          <w:sz w:val="24"/>
          <w:szCs w:val="24"/>
          <w:rtl/>
        </w:rPr>
        <w:t>להבדיל מההתנהלות של ק</w:t>
      </w:r>
      <w:r w:rsidR="008A22F5">
        <w:rPr>
          <w:rFonts w:hint="cs"/>
          <w:b/>
          <w:bCs/>
          <w:noProof/>
          <w:spacing w:val="0"/>
          <w:sz w:val="24"/>
          <w:szCs w:val="24"/>
          <w:rtl/>
        </w:rPr>
        <w:t>'</w:t>
      </w:r>
      <w:r w:rsidR="009358CA" w:rsidRPr="00D41656">
        <w:rPr>
          <w:rFonts w:hint="cs"/>
          <w:b/>
          <w:bCs/>
          <w:noProof/>
          <w:spacing w:val="0"/>
          <w:sz w:val="24"/>
          <w:szCs w:val="24"/>
          <w:rtl/>
        </w:rPr>
        <w:t xml:space="preserve"> בעניינים הזוגיים והחברתיים, שם היא הייתה מאוד דומיננטית, כאשר הם דיברו על עניינים מקצועיים, י</w:t>
      </w:r>
      <w:r w:rsidR="008A22F5">
        <w:rPr>
          <w:rFonts w:hint="cs"/>
          <w:b/>
          <w:bCs/>
          <w:noProof/>
          <w:spacing w:val="0"/>
          <w:sz w:val="24"/>
          <w:szCs w:val="24"/>
          <w:rtl/>
        </w:rPr>
        <w:t>'</w:t>
      </w:r>
      <w:r w:rsidR="009358CA" w:rsidRPr="00D41656">
        <w:rPr>
          <w:rFonts w:hint="cs"/>
          <w:b/>
          <w:bCs/>
          <w:noProof/>
          <w:spacing w:val="0"/>
          <w:sz w:val="24"/>
          <w:szCs w:val="24"/>
          <w:rtl/>
        </w:rPr>
        <w:t xml:space="preserve"> התייחס לק</w:t>
      </w:r>
      <w:r w:rsidR="008A22F5">
        <w:rPr>
          <w:rFonts w:hint="cs"/>
          <w:b/>
          <w:bCs/>
          <w:noProof/>
          <w:spacing w:val="0"/>
          <w:sz w:val="24"/>
          <w:szCs w:val="24"/>
          <w:rtl/>
        </w:rPr>
        <w:t>'</w:t>
      </w:r>
      <w:r w:rsidR="009358CA" w:rsidRPr="00D41656">
        <w:rPr>
          <w:rFonts w:hint="cs"/>
          <w:b/>
          <w:bCs/>
          <w:noProof/>
          <w:spacing w:val="0"/>
          <w:sz w:val="24"/>
          <w:szCs w:val="24"/>
          <w:rtl/>
        </w:rPr>
        <w:t xml:space="preserve"> כאל עובדת או עוזרת אישית שלו, והוא שנתן לה הוראות והנחיות.</w:t>
      </w:r>
      <w:r w:rsidR="00D41656">
        <w:rPr>
          <w:b/>
          <w:bCs/>
          <w:noProof/>
          <w:spacing w:val="0"/>
          <w:sz w:val="24"/>
          <w:szCs w:val="24"/>
          <w:rtl/>
        </w:rPr>
        <w:tab/>
      </w:r>
      <w:r w:rsidR="009358CA" w:rsidRPr="00D41656">
        <w:rPr>
          <w:b/>
          <w:bCs/>
          <w:noProof/>
          <w:spacing w:val="0"/>
          <w:sz w:val="24"/>
          <w:szCs w:val="24"/>
          <w:rtl/>
        </w:rPr>
        <w:br/>
      </w:r>
      <w:r w:rsidR="009358CA" w:rsidRPr="00D41656">
        <w:rPr>
          <w:rFonts w:hint="cs"/>
          <w:b/>
          <w:bCs/>
          <w:noProof/>
          <w:spacing w:val="0"/>
          <w:sz w:val="24"/>
          <w:szCs w:val="24"/>
          <w:rtl/>
        </w:rPr>
        <w:t>...</w:t>
      </w:r>
      <w:r w:rsidR="009358CA" w:rsidRPr="00D41656">
        <w:rPr>
          <w:b/>
          <w:bCs/>
          <w:noProof/>
          <w:spacing w:val="0"/>
          <w:sz w:val="24"/>
          <w:szCs w:val="24"/>
          <w:rtl/>
        </w:rPr>
        <w:br/>
      </w:r>
      <w:r w:rsidRPr="00D41656">
        <w:rPr>
          <w:rFonts w:hint="cs"/>
          <w:b/>
          <w:bCs/>
          <w:noProof/>
          <w:spacing w:val="0"/>
          <w:sz w:val="24"/>
          <w:szCs w:val="24"/>
          <w:rtl/>
        </w:rPr>
        <w:t>י</w:t>
      </w:r>
      <w:r w:rsidR="008A22F5">
        <w:rPr>
          <w:rFonts w:hint="cs"/>
          <w:b/>
          <w:bCs/>
          <w:noProof/>
          <w:spacing w:val="0"/>
          <w:sz w:val="24"/>
          <w:szCs w:val="24"/>
          <w:rtl/>
        </w:rPr>
        <w:t>'</w:t>
      </w:r>
      <w:r w:rsidRPr="00D41656">
        <w:rPr>
          <w:rFonts w:hint="cs"/>
          <w:b/>
          <w:bCs/>
          <w:noProof/>
          <w:spacing w:val="0"/>
          <w:sz w:val="24"/>
          <w:szCs w:val="24"/>
          <w:rtl/>
        </w:rPr>
        <w:t xml:space="preserve"> וק</w:t>
      </w:r>
      <w:r w:rsidR="008A22F5">
        <w:rPr>
          <w:rFonts w:hint="cs"/>
          <w:b/>
          <w:bCs/>
          <w:noProof/>
          <w:spacing w:val="0"/>
          <w:sz w:val="24"/>
          <w:szCs w:val="24"/>
          <w:rtl/>
        </w:rPr>
        <w:t>'</w:t>
      </w:r>
      <w:r w:rsidRPr="00D41656">
        <w:rPr>
          <w:rFonts w:hint="cs"/>
          <w:b/>
          <w:bCs/>
          <w:noProof/>
          <w:spacing w:val="0"/>
          <w:sz w:val="24"/>
          <w:szCs w:val="24"/>
          <w:rtl/>
        </w:rPr>
        <w:t xml:space="preserve"> עבדו במשרד אחד עם מספר עובדים תחתיהם, כאשר י</w:t>
      </w:r>
      <w:r w:rsidR="008A22F5">
        <w:rPr>
          <w:rFonts w:hint="cs"/>
          <w:b/>
          <w:bCs/>
          <w:noProof/>
          <w:spacing w:val="0"/>
          <w:sz w:val="24"/>
          <w:szCs w:val="24"/>
          <w:rtl/>
        </w:rPr>
        <w:t>'</w:t>
      </w:r>
      <w:r w:rsidRPr="00D41656">
        <w:rPr>
          <w:rFonts w:hint="cs"/>
          <w:b/>
          <w:bCs/>
          <w:noProof/>
          <w:spacing w:val="0"/>
          <w:sz w:val="24"/>
          <w:szCs w:val="24"/>
          <w:rtl/>
        </w:rPr>
        <w:t xml:space="preserve"> הוא הבוס, ה</w:t>
      </w:r>
      <w:r w:rsidR="00B86349" w:rsidRPr="00D41656">
        <w:rPr>
          <w:rFonts w:hint="cs"/>
          <w:b/>
          <w:bCs/>
          <w:noProof/>
          <w:spacing w:val="0"/>
          <w:sz w:val="24"/>
          <w:szCs w:val="24"/>
          <w:rtl/>
        </w:rPr>
        <w:t>מ</w:t>
      </w:r>
      <w:r w:rsidRPr="00D41656">
        <w:rPr>
          <w:rFonts w:hint="cs"/>
          <w:b/>
          <w:bCs/>
          <w:noProof/>
          <w:spacing w:val="0"/>
          <w:sz w:val="24"/>
          <w:szCs w:val="24"/>
          <w:rtl/>
        </w:rPr>
        <w:t>פעיל את ק</w:t>
      </w:r>
      <w:r w:rsidR="008A22F5">
        <w:rPr>
          <w:rFonts w:hint="cs"/>
          <w:b/>
          <w:bCs/>
          <w:noProof/>
          <w:spacing w:val="0"/>
          <w:sz w:val="24"/>
          <w:szCs w:val="24"/>
          <w:rtl/>
        </w:rPr>
        <w:t>'</w:t>
      </w:r>
      <w:r w:rsidRPr="00D41656">
        <w:rPr>
          <w:rFonts w:hint="cs"/>
          <w:b/>
          <w:bCs/>
          <w:noProof/>
          <w:spacing w:val="0"/>
          <w:sz w:val="24"/>
          <w:szCs w:val="24"/>
          <w:rtl/>
        </w:rPr>
        <w:t xml:space="preserve"> ואת שאר העובדים" </w:t>
      </w:r>
      <w:r w:rsidRPr="00DF503E">
        <w:rPr>
          <w:rFonts w:ascii="FrankRuehl" w:hAnsi="FrankRuehl" w:cs="FrankRuehl"/>
          <w:rtl/>
        </w:rPr>
        <w:t>(סעי</w:t>
      </w:r>
      <w:r w:rsidR="009358CA">
        <w:rPr>
          <w:rFonts w:ascii="FrankRuehl" w:hAnsi="FrankRuehl" w:cs="FrankRuehl" w:hint="cs"/>
          <w:rtl/>
        </w:rPr>
        <w:t>פים 5 ו-</w:t>
      </w:r>
      <w:r w:rsidRPr="00DF503E">
        <w:rPr>
          <w:rFonts w:ascii="FrankRuehl" w:hAnsi="FrankRuehl" w:cs="FrankRuehl"/>
          <w:rtl/>
        </w:rPr>
        <w:t>9 לתצהיר</w:t>
      </w:r>
      <w:r w:rsidR="004572E0">
        <w:rPr>
          <w:rFonts w:ascii="FrankRuehl" w:hAnsi="FrankRuehl" w:cs="FrankRuehl" w:hint="cs"/>
          <w:rtl/>
        </w:rPr>
        <w:t>ו של מר פ</w:t>
      </w:r>
      <w:r w:rsidR="008A22F5">
        <w:rPr>
          <w:rFonts w:ascii="FrankRuehl" w:hAnsi="FrankRuehl" w:cs="FrankRuehl" w:hint="cs"/>
          <w:rtl/>
        </w:rPr>
        <w:t>'</w:t>
      </w:r>
      <w:r w:rsidRPr="00DF503E">
        <w:rPr>
          <w:rFonts w:ascii="FrankRuehl" w:hAnsi="FrankRuehl" w:cs="FrankRuehl"/>
          <w:rtl/>
        </w:rPr>
        <w:t>).</w:t>
      </w:r>
    </w:p>
    <w:p w:rsidR="0035297D" w:rsidRDefault="009358CA" w:rsidP="008A22F5">
      <w:pPr>
        <w:pStyle w:val="af1"/>
        <w:pBdr>
          <w:right w:val="none" w:sz="0" w:space="0" w:color="auto"/>
        </w:pBdr>
        <w:spacing w:after="240" w:line="360" w:lineRule="auto"/>
        <w:ind w:left="425" w:right="284" w:firstLine="0"/>
        <w:jc w:val="both"/>
        <w:rPr>
          <w:rFonts w:ascii="FrankRuehl" w:hAnsi="FrankRuehl" w:cs="FrankRuehl"/>
          <w:color w:val="000000"/>
          <w:rtl/>
        </w:rPr>
      </w:pPr>
      <w:r w:rsidRPr="009358CA">
        <w:rPr>
          <w:rFonts w:ascii="FrankRuehl" w:hAnsi="FrankRuehl" w:cs="FrankRuehl" w:hint="cs"/>
          <w:color w:val="000000"/>
          <w:rtl/>
        </w:rPr>
        <w:t>מר פ</w:t>
      </w:r>
      <w:r w:rsidR="008A22F5">
        <w:rPr>
          <w:rFonts w:ascii="FrankRuehl" w:hAnsi="FrankRuehl" w:cs="FrankRuehl" w:hint="cs"/>
          <w:color w:val="000000"/>
          <w:rtl/>
        </w:rPr>
        <w:t>'</w:t>
      </w:r>
      <w:r w:rsidRPr="009358CA">
        <w:rPr>
          <w:rFonts w:ascii="FrankRuehl" w:hAnsi="FrankRuehl" w:cs="FrankRuehl" w:hint="cs"/>
          <w:color w:val="000000"/>
          <w:rtl/>
        </w:rPr>
        <w:t xml:space="preserve"> חזר על </w:t>
      </w:r>
      <w:r w:rsidR="00144A9B">
        <w:rPr>
          <w:rFonts w:ascii="FrankRuehl" w:hAnsi="FrankRuehl" w:cs="FrankRuehl" w:hint="cs"/>
          <w:color w:val="000000"/>
          <w:rtl/>
        </w:rPr>
        <w:t xml:space="preserve">הדברים </w:t>
      </w:r>
      <w:r w:rsidRPr="009358CA">
        <w:rPr>
          <w:rFonts w:ascii="FrankRuehl" w:hAnsi="FrankRuehl" w:cs="FrankRuehl" w:hint="cs"/>
          <w:color w:val="000000"/>
          <w:rtl/>
        </w:rPr>
        <w:t>בעדות</w:t>
      </w:r>
      <w:r w:rsidR="00144A9B">
        <w:rPr>
          <w:rFonts w:ascii="FrankRuehl" w:hAnsi="FrankRuehl" w:cs="FrankRuehl" w:hint="cs"/>
          <w:color w:val="000000"/>
          <w:rtl/>
        </w:rPr>
        <w:t>ו</w:t>
      </w:r>
      <w:r w:rsidRPr="009358CA">
        <w:rPr>
          <w:rFonts w:ascii="FrankRuehl" w:hAnsi="FrankRuehl" w:cs="FrankRuehl" w:hint="cs"/>
          <w:color w:val="000000"/>
          <w:rtl/>
        </w:rPr>
        <w:t xml:space="preserve"> (עמ' 127 שו' 7-10).</w:t>
      </w:r>
      <w:r w:rsidR="003057A9">
        <w:rPr>
          <w:rFonts w:ascii="FrankRuehl" w:hAnsi="FrankRuehl" w:cs="FrankRuehl"/>
          <w:color w:val="000000"/>
          <w:rtl/>
        </w:rPr>
        <w:tab/>
      </w:r>
    </w:p>
    <w:p w:rsidR="003057A9" w:rsidRDefault="003057A9" w:rsidP="003057A9">
      <w:pPr>
        <w:pStyle w:val="af1"/>
        <w:pBdr>
          <w:right w:val="none" w:sz="0" w:space="0" w:color="auto"/>
        </w:pBdr>
        <w:spacing w:line="360" w:lineRule="auto"/>
        <w:ind w:left="425" w:right="284" w:firstLine="0"/>
        <w:jc w:val="both"/>
        <w:rPr>
          <w:rFonts w:ascii="FrankRuehl" w:hAnsi="FrankRuehl" w:cs="FrankRuehl"/>
          <w:color w:val="000000"/>
          <w:rtl/>
        </w:rPr>
      </w:pPr>
      <w:r>
        <w:rPr>
          <w:rFonts w:ascii="FrankRuehl" w:hAnsi="FrankRuehl" w:cs="FrankRuehl" w:hint="cs"/>
          <w:color w:val="000000"/>
          <w:rtl/>
        </w:rPr>
        <w:t>באשר לפער המקצועי וכן האמצעים הכספיים והקשרים שהיו לתובע, וחסרו לנתבעת, העיד התובע בחקירתו הנגדית לאמור:</w:t>
      </w:r>
    </w:p>
    <w:p w:rsidR="003057A9" w:rsidRDefault="003057A9" w:rsidP="003057A9">
      <w:pPr>
        <w:pStyle w:val="af1"/>
        <w:pBdr>
          <w:right w:val="none" w:sz="0" w:space="0" w:color="auto"/>
        </w:pBdr>
        <w:spacing w:line="360" w:lineRule="auto"/>
        <w:ind w:left="425" w:right="284" w:firstLine="0"/>
        <w:jc w:val="both"/>
        <w:rPr>
          <w:rFonts w:ascii="FrankRuehl" w:hAnsi="FrankRuehl" w:cs="FrankRuehl"/>
          <w:color w:val="000000"/>
          <w:rtl/>
        </w:rPr>
      </w:pPr>
    </w:p>
    <w:p w:rsidR="003057A9" w:rsidRDefault="00D41656" w:rsidP="008A22F5">
      <w:pPr>
        <w:spacing w:after="240" w:line="360" w:lineRule="auto"/>
        <w:ind w:left="567" w:right="284"/>
        <w:jc w:val="both"/>
        <w:rPr>
          <w:b/>
          <w:bCs/>
          <w:rtl/>
        </w:rPr>
      </w:pPr>
      <w:r>
        <w:rPr>
          <w:rFonts w:hint="cs"/>
          <w:b/>
          <w:bCs/>
          <w:rtl/>
        </w:rPr>
        <w:t>"</w:t>
      </w:r>
      <w:r w:rsidRPr="00D41656">
        <w:rPr>
          <w:b/>
          <w:bCs/>
          <w:rtl/>
        </w:rPr>
        <w:t>אני באתי לסינגפור בתור יועץ עסקי לפרופסור מאוד בכיר שמה. ישראלי. עם הרבה ניסיון בתחום הדיאגנוסטיקה הביוטכנולוגית. לה לא היה שום עסק.</w:t>
      </w:r>
      <w:r w:rsidRPr="00D41656">
        <w:rPr>
          <w:rFonts w:hint="cs"/>
          <w:b/>
          <w:bCs/>
          <w:rtl/>
        </w:rPr>
        <w:t>..</w:t>
      </w:r>
      <w:r w:rsidRPr="00D41656">
        <w:rPr>
          <w:b/>
          <w:bCs/>
          <w:rtl/>
        </w:rPr>
        <w:t xml:space="preserve"> לה לא היה שום ניסיון בתחום הזה. אני באתי עם הרבה קשרים ועם כסף מהמשפחה שלי. לה אין כסף מהמשפחה שלה ואין לה קשרים. אוקיי? אני מסדר לה חינוך אצל י</w:t>
      </w:r>
      <w:r w:rsidR="008A22F5">
        <w:rPr>
          <w:rFonts w:hint="cs"/>
          <w:b/>
          <w:bCs/>
          <w:rtl/>
        </w:rPr>
        <w:t>'</w:t>
      </w:r>
      <w:r w:rsidRPr="00D41656">
        <w:rPr>
          <w:b/>
          <w:bCs/>
          <w:rtl/>
        </w:rPr>
        <w:t xml:space="preserve"> שהוא, ראית שהוא חתיכת קליבר הוא לא סתם איזה בנאדם אוקיי? אני משתף אותה בעסק שלי. היא עוזרת אני חונך אותה. הופך אותה למנכ"לית. מלמד אותה. אז כנראה שלשני הצדדים זה נראה מאוד מאוד הגיוני באותו זמן ש-80 20 זה אפילו משהו שהוא לטובתה</w:t>
      </w:r>
      <w:r>
        <w:rPr>
          <w:rFonts w:hint="cs"/>
          <w:b/>
          <w:bCs/>
          <w:rtl/>
        </w:rPr>
        <w:t>"</w:t>
      </w:r>
      <w:r w:rsidRPr="00D41656">
        <w:rPr>
          <w:b/>
          <w:bCs/>
          <w:rtl/>
        </w:rPr>
        <w:t>.</w:t>
      </w:r>
    </w:p>
    <w:p w:rsidR="00D41656" w:rsidRPr="00D41656" w:rsidRDefault="00D41656" w:rsidP="006D69D4">
      <w:pPr>
        <w:pStyle w:val="af1"/>
        <w:pBdr>
          <w:right w:val="none" w:sz="0" w:space="0" w:color="auto"/>
        </w:pBdr>
        <w:spacing w:after="240" w:line="360" w:lineRule="auto"/>
        <w:ind w:left="425" w:right="284" w:firstLine="0"/>
        <w:jc w:val="both"/>
        <w:rPr>
          <w:rFonts w:ascii="FrankRuehl" w:hAnsi="FrankRuehl" w:cs="FrankRuehl"/>
          <w:color w:val="000000"/>
          <w:rtl/>
        </w:rPr>
      </w:pPr>
      <w:r w:rsidRPr="00D41656">
        <w:rPr>
          <w:rFonts w:ascii="FrankRuehl" w:hAnsi="FrankRuehl" w:cs="FrankRuehl" w:hint="cs"/>
          <w:color w:val="000000"/>
          <w:rtl/>
        </w:rPr>
        <w:t xml:space="preserve">עדות זו משתלבת היטב במארג הראיות, והיא מקובלת עליי. </w:t>
      </w:r>
      <w:r w:rsidR="006D69D4">
        <w:rPr>
          <w:rFonts w:ascii="FrankRuehl" w:hAnsi="FrankRuehl" w:cs="FrankRuehl" w:hint="cs"/>
          <w:color w:val="000000"/>
          <w:rtl/>
        </w:rPr>
        <w:t xml:space="preserve">היא אף זוכה לחיזוק בדברים שכתבה הנתבעת לתובע (נספח 7, עמ' 146 לנספחי תצהירו), לאמור: </w:t>
      </w:r>
      <w:r w:rsidR="006D69D4">
        <w:rPr>
          <w:rFonts w:ascii="FrankRuehl" w:hAnsi="FrankRuehl" w:cs="FrankRuehl"/>
          <w:color w:val="000000"/>
        </w:rPr>
        <w:t>"</w:t>
      </w:r>
      <w:r w:rsidR="006D69D4" w:rsidRPr="006D69D4">
        <w:rPr>
          <w:rFonts w:ascii="FrankRuehl" w:hAnsi="FrankRuehl" w:cs="FrankRuehl"/>
          <w:b/>
          <w:bCs/>
          <w:color w:val="000000"/>
          <w:sz w:val="24"/>
          <w:szCs w:val="24"/>
        </w:rPr>
        <w:t xml:space="preserve">I love how you </w:t>
      </w:r>
      <w:r w:rsidR="006D69D4" w:rsidRPr="006D69D4">
        <w:rPr>
          <w:rFonts w:ascii="FrankRuehl" w:hAnsi="FrankRuehl" w:cs="FrankRuehl"/>
          <w:b/>
          <w:bCs/>
          <w:color w:val="000000"/>
          <w:sz w:val="24"/>
          <w:szCs w:val="24"/>
          <w:u w:val="single"/>
        </w:rPr>
        <w:t>teach me</w:t>
      </w:r>
      <w:r w:rsidR="006D69D4" w:rsidRPr="006D69D4">
        <w:rPr>
          <w:rFonts w:ascii="FrankRuehl" w:hAnsi="FrankRuehl" w:cs="FrankRuehl"/>
          <w:b/>
          <w:bCs/>
          <w:color w:val="000000"/>
          <w:sz w:val="24"/>
          <w:szCs w:val="24"/>
        </w:rPr>
        <w:t xml:space="preserve">, </w:t>
      </w:r>
      <w:r w:rsidR="006D69D4" w:rsidRPr="006D69D4">
        <w:rPr>
          <w:rFonts w:ascii="FrankRuehl" w:hAnsi="FrankRuehl" w:cs="FrankRuehl"/>
          <w:b/>
          <w:bCs/>
          <w:color w:val="000000"/>
          <w:sz w:val="24"/>
          <w:szCs w:val="24"/>
          <w:u w:val="single"/>
        </w:rPr>
        <w:t>guide me</w:t>
      </w:r>
      <w:r w:rsidR="006D69D4" w:rsidRPr="006D69D4">
        <w:rPr>
          <w:rFonts w:ascii="FrankRuehl" w:hAnsi="FrankRuehl" w:cs="FrankRuehl"/>
          <w:b/>
          <w:bCs/>
          <w:color w:val="000000"/>
          <w:sz w:val="24"/>
          <w:szCs w:val="24"/>
        </w:rPr>
        <w:t>, complete me</w:t>
      </w:r>
      <w:r w:rsidR="006D69D4">
        <w:rPr>
          <w:rFonts w:ascii="FrankRuehl" w:hAnsi="FrankRuehl" w:cs="FrankRuehl"/>
          <w:color w:val="000000"/>
        </w:rPr>
        <w:t>"</w:t>
      </w:r>
      <w:r w:rsidR="006D69D4">
        <w:rPr>
          <w:rFonts w:ascii="FrankRuehl" w:hAnsi="FrankRuehl" w:cs="FrankRuehl" w:hint="cs"/>
          <w:color w:val="000000"/>
          <w:rtl/>
        </w:rPr>
        <w:t xml:space="preserve"> (ההדגשות לא במקור). </w:t>
      </w:r>
      <w:r w:rsidR="00441A78">
        <w:rPr>
          <w:rFonts w:ascii="FrankRuehl" w:hAnsi="FrankRuehl" w:cs="FrankRuehl"/>
          <w:color w:val="000000"/>
          <w:rtl/>
        </w:rPr>
        <w:tab/>
      </w:r>
      <w:r w:rsidR="00441A78">
        <w:rPr>
          <w:rFonts w:ascii="FrankRuehl" w:hAnsi="FrankRuehl" w:cs="FrankRuehl"/>
          <w:color w:val="000000"/>
          <w:rtl/>
        </w:rPr>
        <w:br/>
      </w:r>
      <w:r>
        <w:rPr>
          <w:rFonts w:ascii="FrankRuehl" w:hAnsi="FrankRuehl" w:cs="FrankRuehl" w:hint="cs"/>
          <w:color w:val="000000"/>
          <w:rtl/>
        </w:rPr>
        <w:t>לפיכך,</w:t>
      </w:r>
      <w:r w:rsidRPr="00D41656">
        <w:rPr>
          <w:rFonts w:ascii="FrankRuehl" w:hAnsi="FrankRuehl" w:cs="FrankRuehl" w:hint="cs"/>
          <w:color w:val="000000"/>
          <w:rtl/>
        </w:rPr>
        <w:t xml:space="preserve"> לא עלה בידי הנתבעת להוכיח, שתנאי ההסכם תלושים ממציאות </w:t>
      </w:r>
      <w:r w:rsidR="003A73EF">
        <w:rPr>
          <w:rFonts w:ascii="FrankRuehl" w:hAnsi="FrankRuehl" w:cs="FrankRuehl" w:hint="cs"/>
          <w:color w:val="000000"/>
          <w:rtl/>
        </w:rPr>
        <w:t>חיי הצדדים</w:t>
      </w:r>
      <w:r w:rsidR="004572E0">
        <w:rPr>
          <w:rFonts w:ascii="FrankRuehl" w:hAnsi="FrankRuehl" w:cs="FrankRuehl" w:hint="cs"/>
          <w:color w:val="000000"/>
          <w:rtl/>
        </w:rPr>
        <w:t>,</w:t>
      </w:r>
      <w:r w:rsidR="003A73EF">
        <w:rPr>
          <w:rFonts w:ascii="FrankRuehl" w:hAnsi="FrankRuehl" w:cs="FrankRuehl" w:hint="cs"/>
          <w:color w:val="000000"/>
          <w:rtl/>
        </w:rPr>
        <w:t xml:space="preserve"> בעת </w:t>
      </w:r>
      <w:r w:rsidRPr="00D41656">
        <w:rPr>
          <w:rFonts w:ascii="FrankRuehl" w:hAnsi="FrankRuehl" w:cs="FrankRuehl" w:hint="cs"/>
          <w:color w:val="000000"/>
          <w:rtl/>
        </w:rPr>
        <w:t>כריתתו.</w:t>
      </w:r>
    </w:p>
    <w:p w:rsidR="00A24EC5" w:rsidRPr="009358CA" w:rsidRDefault="00BD38ED" w:rsidP="00D41656">
      <w:pPr>
        <w:pStyle w:val="ad"/>
        <w:numPr>
          <w:ilvl w:val="0"/>
          <w:numId w:val="1"/>
        </w:numPr>
        <w:spacing w:after="240" w:line="360" w:lineRule="auto"/>
        <w:contextualSpacing w:val="0"/>
        <w:jc w:val="both"/>
        <w:rPr>
          <w:rFonts w:ascii="FrankRuehl" w:hAnsi="FrankRuehl" w:cs="FrankRuehl"/>
          <w:color w:val="000000"/>
          <w:sz w:val="26"/>
          <w:szCs w:val="26"/>
        </w:rPr>
      </w:pPr>
      <w:r w:rsidRPr="009358CA">
        <w:rPr>
          <w:rFonts w:ascii="FrankRuehl" w:hAnsi="FrankRuehl" w:cs="FrankRuehl" w:hint="cs"/>
          <w:color w:val="000000"/>
          <w:sz w:val="26"/>
          <w:szCs w:val="26"/>
          <w:rtl/>
        </w:rPr>
        <w:t xml:space="preserve">טענה דומה של הנתבעת היא, </w:t>
      </w:r>
      <w:r w:rsidR="00A24EC5" w:rsidRPr="009358CA">
        <w:rPr>
          <w:rFonts w:ascii="FrankRuehl" w:hAnsi="FrankRuehl" w:cs="FrankRuehl" w:hint="cs"/>
          <w:color w:val="000000"/>
          <w:sz w:val="26"/>
          <w:szCs w:val="26"/>
          <w:rtl/>
        </w:rPr>
        <w:t>שאכיפת ההסכם מנוגדת לתקנת הציבור</w:t>
      </w:r>
      <w:r w:rsidR="006116D4" w:rsidRPr="009358CA">
        <w:rPr>
          <w:rFonts w:ascii="FrankRuehl" w:hAnsi="FrankRuehl" w:cs="FrankRuehl" w:hint="cs"/>
          <w:color w:val="000000"/>
          <w:sz w:val="26"/>
          <w:szCs w:val="26"/>
          <w:rtl/>
        </w:rPr>
        <w:t xml:space="preserve"> (סעיף 30 לחוק החוזים הכללי)</w:t>
      </w:r>
      <w:r w:rsidR="00A24EC5" w:rsidRPr="009358CA">
        <w:rPr>
          <w:rFonts w:ascii="FrankRuehl" w:hAnsi="FrankRuehl" w:cs="FrankRuehl" w:hint="cs"/>
          <w:color w:val="000000"/>
          <w:sz w:val="26"/>
          <w:szCs w:val="26"/>
          <w:rtl/>
        </w:rPr>
        <w:t xml:space="preserve">. כך, בין השאר, משום שההסכמה על חלוקה לא שווה של הרכוש המשותף איננה מוגבלת בזמן. </w:t>
      </w:r>
      <w:r w:rsidR="0029265F" w:rsidRPr="009358CA">
        <w:rPr>
          <w:rFonts w:ascii="FrankRuehl" w:hAnsi="FrankRuehl" w:cs="FrankRuehl" w:hint="cs"/>
          <w:color w:val="000000"/>
          <w:sz w:val="26"/>
          <w:szCs w:val="26"/>
          <w:rtl/>
        </w:rPr>
        <w:t xml:space="preserve">אין בידי לקבל את הטענה, משני טעמים: </w:t>
      </w:r>
      <w:r w:rsidR="0029265F" w:rsidRPr="009358CA">
        <w:rPr>
          <w:rFonts w:ascii="FrankRuehl" w:hAnsi="FrankRuehl" w:cs="FrankRuehl" w:hint="cs"/>
          <w:b/>
          <w:bCs/>
          <w:color w:val="000000"/>
          <w:sz w:val="26"/>
          <w:szCs w:val="26"/>
          <w:rtl/>
        </w:rPr>
        <w:t>ראשית</w:t>
      </w:r>
      <w:r w:rsidR="0029265F" w:rsidRPr="009358CA">
        <w:rPr>
          <w:rFonts w:ascii="FrankRuehl" w:hAnsi="FrankRuehl" w:cs="FrankRuehl" w:hint="cs"/>
          <w:color w:val="000000"/>
          <w:sz w:val="26"/>
          <w:szCs w:val="26"/>
          <w:rtl/>
        </w:rPr>
        <w:t xml:space="preserve">, לא מצאתי מה פסול יש בהסכמה לחלוקה לא שווה של רכוש משותף, כל עוד הצדדים גמרו בדעתם לעשות כן. הוא הדין באשר לביצוע חלוקה זו על ציר הזמן. יתירה מזו, מאומה לא מנע מהנתבעת להפסיק את מרוץ הזמן, על ידי דרישה לבצע את חלוקת הרכוש המשותף בכל זמן שהוא. </w:t>
      </w:r>
      <w:r w:rsidR="00233489">
        <w:rPr>
          <w:rFonts w:ascii="FrankRuehl" w:hAnsi="FrankRuehl" w:cs="FrankRuehl"/>
          <w:color w:val="000000"/>
          <w:sz w:val="26"/>
          <w:szCs w:val="26"/>
          <w:rtl/>
        </w:rPr>
        <w:tab/>
      </w:r>
      <w:r w:rsidR="00233489">
        <w:rPr>
          <w:rFonts w:ascii="FrankRuehl" w:hAnsi="FrankRuehl" w:cs="FrankRuehl"/>
          <w:color w:val="000000"/>
          <w:sz w:val="26"/>
          <w:szCs w:val="26"/>
          <w:rtl/>
        </w:rPr>
        <w:br/>
      </w:r>
      <w:r w:rsidR="0029265F" w:rsidRPr="009358CA">
        <w:rPr>
          <w:rFonts w:ascii="FrankRuehl" w:hAnsi="FrankRuehl" w:cs="FrankRuehl" w:hint="cs"/>
          <w:b/>
          <w:bCs/>
          <w:color w:val="000000"/>
          <w:sz w:val="26"/>
          <w:szCs w:val="26"/>
          <w:rtl/>
        </w:rPr>
        <w:t>שנית</w:t>
      </w:r>
      <w:r w:rsidR="0029265F" w:rsidRPr="009358CA">
        <w:rPr>
          <w:rFonts w:ascii="FrankRuehl" w:hAnsi="FrankRuehl" w:cs="FrankRuehl" w:hint="cs"/>
          <w:color w:val="000000"/>
          <w:sz w:val="26"/>
          <w:szCs w:val="26"/>
          <w:rtl/>
        </w:rPr>
        <w:t xml:space="preserve">, </w:t>
      </w:r>
      <w:r w:rsidR="006116D4" w:rsidRPr="009358CA">
        <w:rPr>
          <w:rFonts w:ascii="FrankRuehl" w:hAnsi="FrankRuehl" w:cs="FrankRuehl" w:hint="cs"/>
          <w:color w:val="000000"/>
          <w:sz w:val="26"/>
          <w:szCs w:val="26"/>
          <w:rtl/>
        </w:rPr>
        <w:t xml:space="preserve">הלכה פסוקה היא, </w:t>
      </w:r>
      <w:r w:rsidR="0029265F" w:rsidRPr="009358CA">
        <w:rPr>
          <w:rFonts w:ascii="Miriam" w:hAnsi="Miriam" w:cs="Miriam"/>
          <w:color w:val="000000"/>
          <w:sz w:val="22"/>
          <w:szCs w:val="22"/>
          <w:rtl/>
        </w:rPr>
        <w:t xml:space="preserve">שלא כל הוראה בלתי ראויה ולא כל מעשה מגונה סותרים את תקנת </w:t>
      </w:r>
      <w:r w:rsidR="0029265F" w:rsidRPr="009358CA">
        <w:rPr>
          <w:rFonts w:ascii="Miriam" w:hAnsi="Miriam" w:cs="Miriam"/>
          <w:color w:val="000000"/>
          <w:sz w:val="22"/>
          <w:szCs w:val="22"/>
          <w:rtl/>
        </w:rPr>
        <w:lastRenderedPageBreak/>
        <w:t>הציבור, אלא רק הוראה או מעשה שסותרים את ערכי היסוד של הסדר החברתי או שיטת המשפט</w:t>
      </w:r>
      <w:r w:rsidR="0029265F" w:rsidRPr="009358CA">
        <w:rPr>
          <w:rFonts w:ascii="FrankRuehl" w:hAnsi="FrankRuehl" w:cs="FrankRuehl" w:hint="cs"/>
          <w:color w:val="000000"/>
          <w:sz w:val="26"/>
          <w:szCs w:val="26"/>
          <w:rtl/>
        </w:rPr>
        <w:t xml:space="preserve"> (</w:t>
      </w:r>
      <w:r w:rsidR="0029265F" w:rsidRPr="009358CA">
        <w:rPr>
          <w:rFonts w:ascii="FrankRuehl" w:hAnsi="FrankRuehl" w:cs="FrankRuehl"/>
          <w:color w:val="000000"/>
          <w:sz w:val="26"/>
          <w:szCs w:val="26"/>
          <w:rtl/>
        </w:rPr>
        <w:t>בג"ץ 6051/95 </w:t>
      </w:r>
      <w:r w:rsidR="0029265F" w:rsidRPr="009358CA">
        <w:rPr>
          <w:rFonts w:ascii="FrankRuehl" w:hAnsi="FrankRuehl" w:cs="FrankRuehl"/>
          <w:b/>
          <w:bCs/>
          <w:color w:val="000000"/>
          <w:sz w:val="26"/>
          <w:szCs w:val="26"/>
          <w:rtl/>
        </w:rPr>
        <w:t>אפרים רקנט נ' בית-הדין הארצי לעבודה</w:t>
      </w:r>
      <w:r w:rsidR="0029265F" w:rsidRPr="009358CA">
        <w:rPr>
          <w:rFonts w:ascii="FrankRuehl" w:hAnsi="FrankRuehl" w:cs="FrankRuehl"/>
          <w:color w:val="000000"/>
          <w:sz w:val="26"/>
          <w:szCs w:val="26"/>
        </w:rPr>
        <w:t>,</w:t>
      </w:r>
      <w:r w:rsidR="0029265F" w:rsidRPr="009358CA">
        <w:rPr>
          <w:rFonts w:ascii="FrankRuehl" w:hAnsi="FrankRuehl" w:cs="FrankRuehl" w:hint="cs"/>
          <w:color w:val="000000"/>
          <w:sz w:val="26"/>
          <w:szCs w:val="26"/>
          <w:rtl/>
        </w:rPr>
        <w:t xml:space="preserve"> פ"ד </w:t>
      </w:r>
      <w:r w:rsidR="0029265F" w:rsidRPr="009358CA">
        <w:rPr>
          <w:rFonts w:ascii="FrankRuehl" w:hAnsi="FrankRuehl" w:cs="FrankRuehl"/>
          <w:color w:val="000000"/>
          <w:sz w:val="26"/>
          <w:szCs w:val="26"/>
          <w:rtl/>
        </w:rPr>
        <w:t>נא(3) 289</w:t>
      </w:r>
      <w:r w:rsidR="0029265F" w:rsidRPr="009358CA">
        <w:rPr>
          <w:rFonts w:ascii="FrankRuehl" w:hAnsi="FrankRuehl" w:cs="FrankRuehl" w:hint="cs"/>
          <w:color w:val="000000"/>
          <w:sz w:val="26"/>
          <w:szCs w:val="26"/>
          <w:rtl/>
        </w:rPr>
        <w:t>, 370</w:t>
      </w:r>
      <w:r w:rsidR="0029265F" w:rsidRPr="009358CA">
        <w:rPr>
          <w:rFonts w:ascii="FrankRuehl" w:hAnsi="FrankRuehl" w:cs="FrankRuehl"/>
          <w:color w:val="000000"/>
          <w:sz w:val="26"/>
          <w:szCs w:val="26"/>
          <w:rtl/>
        </w:rPr>
        <w:t xml:space="preserve"> (1997) </w:t>
      </w:r>
      <w:r w:rsidR="0029265F" w:rsidRPr="009358CA">
        <w:rPr>
          <w:rFonts w:ascii="FrankRuehl" w:hAnsi="FrankRuehl" w:cs="FrankRuehl" w:hint="cs"/>
          <w:color w:val="000000"/>
          <w:sz w:val="26"/>
          <w:szCs w:val="26"/>
          <w:rtl/>
        </w:rPr>
        <w:t>). לא מצאתי במה הוראות ההסכם סותרות את ערכי היסוד של שיטת המשפט הישראלית.</w:t>
      </w:r>
      <w:r w:rsidR="00441A78">
        <w:rPr>
          <w:rFonts w:ascii="FrankRuehl" w:hAnsi="FrankRuehl" w:cs="FrankRuehl" w:hint="cs"/>
          <w:color w:val="000000"/>
          <w:sz w:val="26"/>
          <w:szCs w:val="26"/>
          <w:rtl/>
        </w:rPr>
        <w:t xml:space="preserve"> למעלה מן הצורך, לנוכח מסקנתי שלהלן, בדבר הגבלת תוקף ההסכם לתקופה טרם נישואי הצדדים, ממילא נשמט הבסיס, לטענת חוסר הצדק, על ציר הזמן.</w:t>
      </w:r>
    </w:p>
    <w:p w:rsidR="00BD58CF" w:rsidRPr="00BD58CF" w:rsidRDefault="00A24EC5" w:rsidP="00A8654B">
      <w:pPr>
        <w:pStyle w:val="ad"/>
        <w:numPr>
          <w:ilvl w:val="0"/>
          <w:numId w:val="1"/>
        </w:numPr>
        <w:spacing w:after="240" w:line="360" w:lineRule="auto"/>
        <w:contextualSpacing w:val="0"/>
        <w:jc w:val="both"/>
        <w:rPr>
          <w:rFonts w:ascii="FrankRuehl" w:hAnsi="FrankRuehl" w:cs="FrankRuehl"/>
          <w:color w:val="000000"/>
          <w:sz w:val="26"/>
          <w:szCs w:val="26"/>
        </w:rPr>
      </w:pPr>
      <w:r w:rsidRPr="00AF121B">
        <w:rPr>
          <w:rFonts w:ascii="FrankRuehl" w:hAnsi="FrankRuehl" w:cs="FrankRuehl" w:hint="cs"/>
          <w:noProof w:val="0"/>
          <w:sz w:val="26"/>
          <w:szCs w:val="26"/>
          <w:rtl/>
        </w:rPr>
        <w:t>הנתבעת טענה</w:t>
      </w:r>
      <w:r w:rsidR="00144A9B">
        <w:rPr>
          <w:rFonts w:ascii="FrankRuehl" w:hAnsi="FrankRuehl" w:cs="FrankRuehl" w:hint="cs"/>
          <w:noProof w:val="0"/>
          <w:sz w:val="26"/>
          <w:szCs w:val="26"/>
          <w:rtl/>
        </w:rPr>
        <w:t>,</w:t>
      </w:r>
      <w:r w:rsidRPr="00AF121B">
        <w:rPr>
          <w:rFonts w:ascii="FrankRuehl" w:hAnsi="FrankRuehl" w:cs="FrankRuehl" w:hint="cs"/>
          <w:noProof w:val="0"/>
          <w:sz w:val="26"/>
          <w:szCs w:val="26"/>
          <w:rtl/>
        </w:rPr>
        <w:t xml:space="preserve"> בסיכומיה</w:t>
      </w:r>
      <w:r w:rsidR="00144A9B">
        <w:rPr>
          <w:rFonts w:ascii="FrankRuehl" w:hAnsi="FrankRuehl" w:cs="FrankRuehl" w:hint="cs"/>
          <w:noProof w:val="0"/>
          <w:sz w:val="26"/>
          <w:szCs w:val="26"/>
          <w:rtl/>
        </w:rPr>
        <w:t>,</w:t>
      </w:r>
      <w:r w:rsidRPr="00AF121B">
        <w:rPr>
          <w:rFonts w:ascii="FrankRuehl" w:hAnsi="FrankRuehl" w:cs="FrankRuehl" w:hint="cs"/>
          <w:noProof w:val="0"/>
          <w:sz w:val="26"/>
          <w:szCs w:val="26"/>
          <w:rtl/>
        </w:rPr>
        <w:t xml:space="preserve"> לביטול ההסכם, בשל הפרתו היסודית</w:t>
      </w:r>
      <w:r w:rsidR="00144A9B">
        <w:rPr>
          <w:rFonts w:ascii="FrankRuehl" w:hAnsi="FrankRuehl" w:cs="FrankRuehl" w:hint="cs"/>
          <w:noProof w:val="0"/>
          <w:sz w:val="26"/>
          <w:szCs w:val="26"/>
          <w:rtl/>
        </w:rPr>
        <w:t>,</w:t>
      </w:r>
      <w:r w:rsidRPr="00AF121B">
        <w:rPr>
          <w:rFonts w:ascii="FrankRuehl" w:hAnsi="FrankRuehl" w:cs="FrankRuehl" w:hint="cs"/>
          <w:noProof w:val="0"/>
          <w:sz w:val="26"/>
          <w:szCs w:val="26"/>
          <w:rtl/>
        </w:rPr>
        <w:t xml:space="preserve"> לכאורה</w:t>
      </w:r>
      <w:r w:rsidR="00144A9B">
        <w:rPr>
          <w:rFonts w:ascii="FrankRuehl" w:hAnsi="FrankRuehl" w:cs="FrankRuehl" w:hint="cs"/>
          <w:noProof w:val="0"/>
          <w:sz w:val="26"/>
          <w:szCs w:val="26"/>
          <w:rtl/>
        </w:rPr>
        <w:t>,</w:t>
      </w:r>
      <w:r w:rsidRPr="00AF121B">
        <w:rPr>
          <w:rFonts w:ascii="FrankRuehl" w:hAnsi="FrankRuehl" w:cs="FrankRuehl" w:hint="cs"/>
          <w:noProof w:val="0"/>
          <w:sz w:val="26"/>
          <w:szCs w:val="26"/>
          <w:rtl/>
        </w:rPr>
        <w:t xml:space="preserve"> על ידי התובע</w:t>
      </w:r>
      <w:r w:rsidR="00BD58CF">
        <w:rPr>
          <w:rFonts w:ascii="FrankRuehl" w:hAnsi="FrankRuehl" w:cs="FrankRuehl" w:hint="cs"/>
          <w:noProof w:val="0"/>
          <w:sz w:val="26"/>
          <w:szCs w:val="26"/>
          <w:rtl/>
        </w:rPr>
        <w:t>. לשיטת הנתבעת, בטלנותו (הנטענת) של התובע</w:t>
      </w:r>
      <w:r w:rsidR="0083214E">
        <w:rPr>
          <w:rFonts w:ascii="FrankRuehl" w:hAnsi="FrankRuehl" w:cs="FrankRuehl" w:hint="cs"/>
          <w:noProof w:val="0"/>
          <w:sz w:val="26"/>
          <w:szCs w:val="26"/>
          <w:rtl/>
        </w:rPr>
        <w:t>,</w:t>
      </w:r>
      <w:r w:rsidR="00BD58CF">
        <w:rPr>
          <w:rFonts w:ascii="FrankRuehl" w:hAnsi="FrankRuehl" w:cs="FrankRuehl" w:hint="cs"/>
          <w:noProof w:val="0"/>
          <w:sz w:val="26"/>
          <w:szCs w:val="26"/>
          <w:rtl/>
        </w:rPr>
        <w:t xml:space="preserve"> מהווה הפרה יסודית של ההסכם.</w:t>
      </w:r>
      <w:r w:rsidR="00BD58CF">
        <w:rPr>
          <w:rFonts w:ascii="FrankRuehl" w:hAnsi="FrankRuehl" w:cs="FrankRuehl" w:hint="cs"/>
          <w:color w:val="000000"/>
          <w:sz w:val="26"/>
          <w:szCs w:val="26"/>
          <w:rtl/>
        </w:rPr>
        <w:t xml:space="preserve"> טענה זו נטענה מצוות אנשים מלומדה, ללא תימוכין עובדתיים ומשפטיים של ממש. </w:t>
      </w:r>
      <w:r w:rsidR="00571250">
        <w:rPr>
          <w:rFonts w:ascii="FrankRuehl" w:hAnsi="FrankRuehl" w:cs="FrankRuehl" w:hint="cs"/>
          <w:color w:val="000000"/>
          <w:sz w:val="26"/>
          <w:szCs w:val="26"/>
          <w:rtl/>
        </w:rPr>
        <w:t xml:space="preserve">יתירה מזו, טענות הנתבעת בנושא, הינן בגדר עדות </w:t>
      </w:r>
      <w:r w:rsidR="00144A9B">
        <w:rPr>
          <w:rFonts w:ascii="FrankRuehl" w:hAnsi="FrankRuehl" w:cs="FrankRuehl" w:hint="cs"/>
          <w:color w:val="000000"/>
          <w:sz w:val="26"/>
          <w:szCs w:val="26"/>
          <w:rtl/>
        </w:rPr>
        <w:t>ב</w:t>
      </w:r>
      <w:r w:rsidR="00571250">
        <w:rPr>
          <w:rFonts w:ascii="FrankRuehl" w:hAnsi="FrankRuehl" w:cs="FrankRuehl" w:hint="cs"/>
          <w:color w:val="000000"/>
          <w:sz w:val="26"/>
          <w:szCs w:val="26"/>
          <w:rtl/>
        </w:rPr>
        <w:t xml:space="preserve">על דין יחידה ללא תימוכין. בהיעדר טעמים של ממש, אין לבסס על עדות כזו הכרעה (סעיף 54(2) לפקודת הראיות [נוסח חדש], תשל"א-1971). </w:t>
      </w:r>
      <w:r w:rsidR="00D1521D">
        <w:rPr>
          <w:rFonts w:ascii="FrankRuehl" w:hAnsi="FrankRuehl" w:cs="FrankRuehl" w:hint="cs"/>
          <w:color w:val="000000"/>
          <w:sz w:val="26"/>
          <w:szCs w:val="26"/>
          <w:rtl/>
        </w:rPr>
        <w:t>להשלמת ההנמקה אציין, שהנתבעת לא טוענת</w:t>
      </w:r>
      <w:r w:rsidR="00144A9B">
        <w:rPr>
          <w:rFonts w:ascii="FrankRuehl" w:hAnsi="FrankRuehl" w:cs="FrankRuehl" w:hint="cs"/>
          <w:color w:val="000000"/>
          <w:sz w:val="26"/>
          <w:szCs w:val="26"/>
          <w:rtl/>
        </w:rPr>
        <w:t>,</w:t>
      </w:r>
      <w:r w:rsidR="00D1521D">
        <w:rPr>
          <w:rFonts w:ascii="FrankRuehl" w:hAnsi="FrankRuehl" w:cs="FrankRuehl" w:hint="cs"/>
          <w:color w:val="000000"/>
          <w:sz w:val="26"/>
          <w:szCs w:val="26"/>
          <w:rtl/>
        </w:rPr>
        <w:t xml:space="preserve"> ששיגרה לתובע הודעת ביטול, כמתחייב מסעיף 8 לחוק החוזים תרופות. </w:t>
      </w:r>
      <w:r w:rsidR="0083214E">
        <w:rPr>
          <w:rFonts w:ascii="FrankRuehl" w:hAnsi="FrankRuehl" w:cs="FrankRuehl" w:hint="cs"/>
          <w:color w:val="000000"/>
          <w:sz w:val="26"/>
          <w:szCs w:val="26"/>
          <w:rtl/>
        </w:rPr>
        <w:t xml:space="preserve">יתירה מזו, </w:t>
      </w:r>
      <w:r w:rsidR="00D1521D">
        <w:rPr>
          <w:rFonts w:ascii="FrankRuehl" w:hAnsi="FrankRuehl" w:cs="FrankRuehl" w:hint="cs"/>
          <w:color w:val="000000"/>
          <w:sz w:val="26"/>
          <w:szCs w:val="26"/>
          <w:rtl/>
        </w:rPr>
        <w:t xml:space="preserve">הודעת הביטול </w:t>
      </w:r>
      <w:r w:rsidR="0083214E">
        <w:rPr>
          <w:rFonts w:ascii="FrankRuehl" w:hAnsi="FrankRuehl" w:cs="FrankRuehl" w:hint="cs"/>
          <w:color w:val="000000"/>
          <w:sz w:val="26"/>
          <w:szCs w:val="26"/>
          <w:rtl/>
        </w:rPr>
        <w:t>יש לשגר</w:t>
      </w:r>
      <w:r w:rsidR="00144A9B">
        <w:rPr>
          <w:rFonts w:ascii="FrankRuehl" w:hAnsi="FrankRuehl" w:cs="FrankRuehl" w:hint="cs"/>
          <w:color w:val="000000"/>
          <w:sz w:val="26"/>
          <w:szCs w:val="26"/>
          <w:rtl/>
        </w:rPr>
        <w:t>,</w:t>
      </w:r>
      <w:r w:rsidR="0083214E">
        <w:rPr>
          <w:rFonts w:ascii="FrankRuehl" w:hAnsi="FrankRuehl" w:cs="FrankRuehl" w:hint="cs"/>
          <w:color w:val="000000"/>
          <w:sz w:val="26"/>
          <w:szCs w:val="26"/>
          <w:rtl/>
        </w:rPr>
        <w:t xml:space="preserve"> </w:t>
      </w:r>
      <w:r w:rsidR="00D1521D" w:rsidRPr="00D1521D">
        <w:rPr>
          <w:rFonts w:ascii="FrankRuehl" w:hAnsi="FrankRuehl" w:cs="FrankRuehl"/>
          <w:color w:val="000000"/>
          <w:sz w:val="26"/>
          <w:szCs w:val="26"/>
          <w:rtl/>
        </w:rPr>
        <w:t>תוך זמן סביר</w:t>
      </w:r>
      <w:r w:rsidR="00144A9B">
        <w:rPr>
          <w:rFonts w:ascii="FrankRuehl" w:hAnsi="FrankRuehl" w:cs="FrankRuehl" w:hint="cs"/>
          <w:color w:val="000000"/>
          <w:sz w:val="26"/>
          <w:szCs w:val="26"/>
          <w:rtl/>
        </w:rPr>
        <w:t>,</w:t>
      </w:r>
      <w:r w:rsidR="00D1521D" w:rsidRPr="00D1521D">
        <w:rPr>
          <w:rFonts w:ascii="FrankRuehl" w:hAnsi="FrankRuehl" w:cs="FrankRuehl"/>
          <w:color w:val="000000"/>
          <w:sz w:val="26"/>
          <w:szCs w:val="26"/>
          <w:rtl/>
        </w:rPr>
        <w:t xml:space="preserve"> לאחר שנודע </w:t>
      </w:r>
      <w:r w:rsidR="0083214E">
        <w:rPr>
          <w:rFonts w:ascii="FrankRuehl" w:hAnsi="FrankRuehl" w:cs="FrankRuehl" w:hint="cs"/>
          <w:color w:val="000000"/>
          <w:sz w:val="26"/>
          <w:szCs w:val="26"/>
          <w:rtl/>
        </w:rPr>
        <w:t>דבר</w:t>
      </w:r>
      <w:r w:rsidR="00D1521D" w:rsidRPr="00D1521D">
        <w:rPr>
          <w:rFonts w:ascii="FrankRuehl" w:hAnsi="FrankRuehl" w:cs="FrankRuehl"/>
          <w:color w:val="000000"/>
          <w:sz w:val="26"/>
          <w:szCs w:val="26"/>
          <w:rtl/>
        </w:rPr>
        <w:t xml:space="preserve"> ההפרה</w:t>
      </w:r>
      <w:r w:rsidR="00D1521D">
        <w:rPr>
          <w:rFonts w:ascii="FrankRuehl" w:hAnsi="FrankRuehl" w:cs="FrankRuehl" w:hint="cs"/>
          <w:color w:val="000000"/>
          <w:sz w:val="26"/>
          <w:szCs w:val="26"/>
          <w:rtl/>
        </w:rPr>
        <w:t xml:space="preserve"> (סעיף 8 האמור). לנוכח טענת הנתבעת, ש</w:t>
      </w:r>
      <w:r w:rsidR="005E57A2">
        <w:rPr>
          <w:rFonts w:ascii="FrankRuehl" w:hAnsi="FrankRuehl" w:cs="FrankRuehl" w:hint="cs"/>
          <w:color w:val="000000"/>
          <w:sz w:val="26"/>
          <w:szCs w:val="26"/>
          <w:rtl/>
        </w:rPr>
        <w:t>"</w:t>
      </w:r>
      <w:r w:rsidR="00D1521D">
        <w:rPr>
          <w:rFonts w:ascii="FrankRuehl" w:hAnsi="FrankRuehl" w:cs="FrankRuehl" w:hint="cs"/>
          <w:color w:val="000000"/>
          <w:sz w:val="26"/>
          <w:szCs w:val="26"/>
          <w:rtl/>
        </w:rPr>
        <w:t>בטלנות</w:t>
      </w:r>
      <w:r w:rsidR="005E57A2">
        <w:rPr>
          <w:rFonts w:ascii="FrankRuehl" w:hAnsi="FrankRuehl" w:cs="FrankRuehl" w:hint="cs"/>
          <w:color w:val="000000"/>
          <w:sz w:val="26"/>
          <w:szCs w:val="26"/>
          <w:rtl/>
        </w:rPr>
        <w:t>"</w:t>
      </w:r>
      <w:r w:rsidR="00D1521D">
        <w:rPr>
          <w:rFonts w:ascii="FrankRuehl" w:hAnsi="FrankRuehl" w:cs="FrankRuehl" w:hint="cs"/>
          <w:color w:val="000000"/>
          <w:sz w:val="26"/>
          <w:szCs w:val="26"/>
          <w:rtl/>
        </w:rPr>
        <w:t xml:space="preserve"> התובע החלה בשנ</w:t>
      </w:r>
      <w:r w:rsidR="007A7B2A">
        <w:rPr>
          <w:rFonts w:ascii="FrankRuehl" w:hAnsi="FrankRuehl" w:cs="FrankRuehl" w:hint="cs"/>
          <w:color w:val="000000"/>
          <w:sz w:val="26"/>
          <w:szCs w:val="26"/>
          <w:rtl/>
        </w:rPr>
        <w:t>ים 2017-2018</w:t>
      </w:r>
      <w:r w:rsidR="00D1521D">
        <w:rPr>
          <w:rFonts w:ascii="FrankRuehl" w:hAnsi="FrankRuehl" w:cs="FrankRuehl" w:hint="cs"/>
          <w:color w:val="000000"/>
          <w:sz w:val="26"/>
          <w:szCs w:val="26"/>
          <w:rtl/>
        </w:rPr>
        <w:t xml:space="preserve">, </w:t>
      </w:r>
      <w:r w:rsidR="007A7B2A">
        <w:rPr>
          <w:rFonts w:ascii="FrankRuehl" w:hAnsi="FrankRuehl" w:cs="FrankRuehl" w:hint="cs"/>
          <w:color w:val="000000"/>
          <w:sz w:val="26"/>
          <w:szCs w:val="26"/>
          <w:rtl/>
        </w:rPr>
        <w:t>מדובר ב</w:t>
      </w:r>
      <w:r w:rsidR="00D1521D">
        <w:rPr>
          <w:rFonts w:ascii="FrankRuehl" w:hAnsi="FrankRuehl" w:cs="FrankRuehl" w:hint="cs"/>
          <w:color w:val="000000"/>
          <w:sz w:val="26"/>
          <w:szCs w:val="26"/>
          <w:rtl/>
        </w:rPr>
        <w:t>מחדל</w:t>
      </w:r>
      <w:r w:rsidR="00144A9B">
        <w:rPr>
          <w:rFonts w:ascii="FrankRuehl" w:hAnsi="FrankRuehl" w:cs="FrankRuehl" w:hint="cs"/>
          <w:color w:val="000000"/>
          <w:sz w:val="26"/>
          <w:szCs w:val="26"/>
          <w:rtl/>
        </w:rPr>
        <w:t>,</w:t>
      </w:r>
      <w:r w:rsidR="00D1521D">
        <w:rPr>
          <w:rFonts w:ascii="FrankRuehl" w:hAnsi="FrankRuehl" w:cs="FrankRuehl" w:hint="cs"/>
          <w:color w:val="000000"/>
          <w:sz w:val="26"/>
          <w:szCs w:val="26"/>
          <w:rtl/>
        </w:rPr>
        <w:t xml:space="preserve"> לשגר הודעת ביטול</w:t>
      </w:r>
      <w:r w:rsidR="00144A9B">
        <w:rPr>
          <w:rFonts w:ascii="FrankRuehl" w:hAnsi="FrankRuehl" w:cs="FrankRuehl" w:hint="cs"/>
          <w:color w:val="000000"/>
          <w:sz w:val="26"/>
          <w:szCs w:val="26"/>
          <w:rtl/>
        </w:rPr>
        <w:t>,</w:t>
      </w:r>
      <w:r w:rsidR="00D1521D">
        <w:rPr>
          <w:rFonts w:ascii="FrankRuehl" w:hAnsi="FrankRuehl" w:cs="FrankRuehl" w:hint="cs"/>
          <w:color w:val="000000"/>
          <w:sz w:val="26"/>
          <w:szCs w:val="26"/>
          <w:rtl/>
        </w:rPr>
        <w:t xml:space="preserve"> </w:t>
      </w:r>
      <w:r w:rsidR="00FC4D9F">
        <w:rPr>
          <w:rFonts w:ascii="FrankRuehl" w:hAnsi="FrankRuehl" w:cs="FrankRuehl" w:hint="cs"/>
          <w:color w:val="000000"/>
          <w:sz w:val="26"/>
          <w:szCs w:val="26"/>
          <w:rtl/>
        </w:rPr>
        <w:t xml:space="preserve">משך </w:t>
      </w:r>
      <w:r w:rsidR="007A7B2A">
        <w:rPr>
          <w:rFonts w:ascii="FrankRuehl" w:hAnsi="FrankRuehl" w:cs="FrankRuehl" w:hint="cs"/>
          <w:color w:val="000000"/>
          <w:sz w:val="26"/>
          <w:szCs w:val="26"/>
          <w:rtl/>
        </w:rPr>
        <w:t xml:space="preserve">כארבע </w:t>
      </w:r>
      <w:r w:rsidR="00FC4D9F">
        <w:rPr>
          <w:rFonts w:ascii="FrankRuehl" w:hAnsi="FrankRuehl" w:cs="FrankRuehl" w:hint="cs"/>
          <w:color w:val="000000"/>
          <w:sz w:val="26"/>
          <w:szCs w:val="26"/>
          <w:rtl/>
        </w:rPr>
        <w:t>שנים</w:t>
      </w:r>
      <w:r w:rsidR="007A7B2A">
        <w:rPr>
          <w:rFonts w:ascii="FrankRuehl" w:hAnsi="FrankRuehl" w:cs="FrankRuehl" w:hint="cs"/>
          <w:color w:val="000000"/>
          <w:sz w:val="26"/>
          <w:szCs w:val="26"/>
          <w:rtl/>
        </w:rPr>
        <w:t>. מחדל זה</w:t>
      </w:r>
      <w:r w:rsidR="00FC4D9F">
        <w:rPr>
          <w:rFonts w:ascii="FrankRuehl" w:hAnsi="FrankRuehl" w:cs="FrankRuehl" w:hint="cs"/>
          <w:color w:val="000000"/>
          <w:sz w:val="26"/>
          <w:szCs w:val="26"/>
          <w:rtl/>
        </w:rPr>
        <w:t xml:space="preserve"> מעיד, שהנתבעת לא סברה, בזמן אמת, שקיימת עילת ביטול. זאת ועוד, לא מצאתי בהסכם תימוכין לכך, שחלוקת הרכוש המשותף, כאמור בהסכם, מותנית במידת ההשקעה של מי מהצדדים בצבירתו. לפיכך דין הטענה להפרה יסודית, להידחות.</w:t>
      </w:r>
      <w:r w:rsidR="00244D27">
        <w:rPr>
          <w:rFonts w:ascii="FrankRuehl" w:hAnsi="FrankRuehl" w:cs="FrankRuehl" w:hint="cs"/>
          <w:color w:val="000000"/>
          <w:sz w:val="26"/>
          <w:szCs w:val="26"/>
          <w:rtl/>
        </w:rPr>
        <w:t xml:space="preserve"> הנתבעת מודעת לקשיים האמורים, ולכן טוענת, שההסכם נזנח. </w:t>
      </w:r>
      <w:r w:rsidR="00D74EC9">
        <w:rPr>
          <w:rFonts w:ascii="FrankRuehl" w:hAnsi="FrankRuehl" w:cs="FrankRuehl" w:hint="cs"/>
          <w:color w:val="000000"/>
          <w:sz w:val="26"/>
          <w:szCs w:val="26"/>
          <w:rtl/>
        </w:rPr>
        <w:t>לא ייפלא, ש</w:t>
      </w:r>
      <w:r w:rsidR="00244D27">
        <w:rPr>
          <w:rFonts w:ascii="FrankRuehl" w:hAnsi="FrankRuehl" w:cs="FrankRuehl" w:hint="cs"/>
          <w:color w:val="000000"/>
          <w:sz w:val="26"/>
          <w:szCs w:val="26"/>
          <w:rtl/>
        </w:rPr>
        <w:t>טענה זו נטענה</w:t>
      </w:r>
      <w:r w:rsidR="00D74EC9">
        <w:rPr>
          <w:rFonts w:ascii="FrankRuehl" w:hAnsi="FrankRuehl" w:cs="FrankRuehl" w:hint="cs"/>
          <w:color w:val="000000"/>
          <w:sz w:val="26"/>
          <w:szCs w:val="26"/>
          <w:rtl/>
        </w:rPr>
        <w:t>, ללא תימוכין עובדתיים, שהרי ההסכם נועד ליישום רק בעת פירוד.</w:t>
      </w:r>
      <w:r w:rsidR="00033970">
        <w:rPr>
          <w:rFonts w:ascii="FrankRuehl" w:hAnsi="FrankRuehl" w:cs="FrankRuehl" w:hint="cs"/>
          <w:color w:val="000000"/>
          <w:sz w:val="26"/>
          <w:szCs w:val="26"/>
          <w:rtl/>
        </w:rPr>
        <w:t xml:space="preserve"> יתירה מזו, </w:t>
      </w:r>
      <w:r w:rsidR="00A05739">
        <w:rPr>
          <w:rFonts w:ascii="FrankRuehl" w:hAnsi="FrankRuehl" w:cs="FrankRuehl" w:hint="cs"/>
          <w:color w:val="000000"/>
          <w:sz w:val="26"/>
          <w:szCs w:val="26"/>
          <w:rtl/>
        </w:rPr>
        <w:t xml:space="preserve">לפי ההלכה הפסוקה </w:t>
      </w:r>
      <w:r w:rsidR="00A05739" w:rsidRPr="00A05739">
        <w:rPr>
          <w:rFonts w:ascii="Miriam" w:hAnsi="Miriam" w:cs="Miriam"/>
          <w:color w:val="000000"/>
          <w:sz w:val="22"/>
          <w:szCs w:val="22"/>
          <w:rtl/>
        </w:rPr>
        <w:t>לא בנקל ייקבע כי בעל זכות על פי הסכם זנח אותה</w:t>
      </w:r>
      <w:r w:rsidR="00A05739">
        <w:rPr>
          <w:rFonts w:ascii="FrankRuehl" w:hAnsi="FrankRuehl" w:cs="FrankRuehl" w:hint="cs"/>
          <w:color w:val="000000"/>
          <w:sz w:val="26"/>
          <w:szCs w:val="26"/>
          <w:rtl/>
        </w:rPr>
        <w:t xml:space="preserve"> (</w:t>
      </w:r>
      <w:r w:rsidR="00A05739" w:rsidRPr="00A05739">
        <w:rPr>
          <w:rFonts w:ascii="FrankRuehl" w:hAnsi="FrankRuehl" w:cs="FrankRuehl"/>
          <w:color w:val="000000"/>
          <w:sz w:val="26"/>
          <w:szCs w:val="26"/>
          <w:rtl/>
        </w:rPr>
        <w:t>ע"א 10148/05 </w:t>
      </w:r>
      <w:r w:rsidR="00A05739" w:rsidRPr="00A05739">
        <w:rPr>
          <w:rFonts w:ascii="FrankRuehl" w:hAnsi="FrankRuehl" w:cs="FrankRuehl"/>
          <w:b/>
          <w:bCs/>
          <w:color w:val="000000"/>
          <w:sz w:val="26"/>
          <w:szCs w:val="26"/>
          <w:rtl/>
        </w:rPr>
        <w:t>חברת תדי ירושלים בע"מ נ' ברכה כץ-שיבאן</w:t>
      </w:r>
      <w:r w:rsidR="00A05739" w:rsidRPr="00A05739">
        <w:rPr>
          <w:rFonts w:ascii="FrankRuehl" w:hAnsi="FrankRuehl" w:cs="FrankRuehl"/>
          <w:color w:val="000000"/>
          <w:sz w:val="26"/>
          <w:szCs w:val="26"/>
          <w:rtl/>
        </w:rPr>
        <w:t> (15.03.2010)</w:t>
      </w:r>
      <w:r w:rsidR="00A05739">
        <w:rPr>
          <w:rFonts w:ascii="FrankRuehl" w:hAnsi="FrankRuehl" w:cs="FrankRuehl" w:hint="cs"/>
          <w:color w:val="000000"/>
          <w:sz w:val="26"/>
          <w:szCs w:val="26"/>
          <w:rtl/>
        </w:rPr>
        <w:t xml:space="preserve"> ).</w:t>
      </w:r>
      <w:r w:rsidR="00A05739" w:rsidRPr="00A05739">
        <w:rPr>
          <w:rFonts w:ascii="FrankRuehl" w:hAnsi="FrankRuehl" w:cs="FrankRuehl"/>
          <w:color w:val="000000"/>
          <w:sz w:val="26"/>
          <w:szCs w:val="26"/>
          <w:rtl/>
        </w:rPr>
        <w:t xml:space="preserve"> </w:t>
      </w:r>
      <w:r w:rsidR="00033970" w:rsidRPr="00033970">
        <w:rPr>
          <w:rFonts w:ascii="FrankRuehl" w:hAnsi="FrankRuehl" w:cs="FrankRuehl" w:hint="cs"/>
          <w:color w:val="000000"/>
          <w:sz w:val="26"/>
          <w:szCs w:val="26"/>
          <w:rtl/>
        </w:rPr>
        <w:t>על מנת</w:t>
      </w:r>
      <w:r w:rsidR="00A05739">
        <w:rPr>
          <w:rFonts w:ascii="FrankRuehl" w:hAnsi="FrankRuehl" w:cs="FrankRuehl" w:hint="cs"/>
          <w:color w:val="000000"/>
          <w:sz w:val="26"/>
          <w:szCs w:val="26"/>
          <w:rtl/>
        </w:rPr>
        <w:t>,</w:t>
      </w:r>
      <w:r w:rsidR="00033970" w:rsidRPr="00033970">
        <w:rPr>
          <w:rFonts w:ascii="FrankRuehl" w:hAnsi="FrankRuehl" w:cs="FrankRuehl" w:hint="cs"/>
          <w:color w:val="000000"/>
          <w:sz w:val="26"/>
          <w:szCs w:val="26"/>
          <w:rtl/>
        </w:rPr>
        <w:t xml:space="preserve"> שהנתבעת תוכל לטעון לוויתור מצד התובע על זכויותיו</w:t>
      </w:r>
      <w:r w:rsidR="00033970">
        <w:rPr>
          <w:rFonts w:ascii="FrankRuehl" w:hAnsi="FrankRuehl" w:cs="FrankRuehl" w:hint="cs"/>
          <w:color w:val="000000"/>
          <w:sz w:val="26"/>
          <w:szCs w:val="26"/>
          <w:rtl/>
        </w:rPr>
        <w:t xml:space="preserve"> על פי ההסכם</w:t>
      </w:r>
      <w:r w:rsidR="00033970" w:rsidRPr="00033970">
        <w:rPr>
          <w:rFonts w:ascii="FrankRuehl" w:hAnsi="FrankRuehl" w:cs="FrankRuehl" w:hint="cs"/>
          <w:color w:val="000000"/>
          <w:sz w:val="26"/>
          <w:szCs w:val="26"/>
          <w:rtl/>
        </w:rPr>
        <w:t>, עליה להצביע על התנהלות תואמת לאורך זמן ועל הסתמכות שלה על התנהלות זו (</w:t>
      </w:r>
      <w:r w:rsidR="00033970" w:rsidRPr="00033970">
        <w:rPr>
          <w:rFonts w:ascii="FrankRuehl" w:hAnsi="FrankRuehl" w:cs="FrankRuehl"/>
          <w:color w:val="000000"/>
          <w:sz w:val="26"/>
          <w:szCs w:val="26"/>
          <w:rtl/>
        </w:rPr>
        <w:t>ע"א 5630/90 </w:t>
      </w:r>
      <w:r w:rsidR="00033970" w:rsidRPr="00033970">
        <w:rPr>
          <w:rFonts w:ascii="FrankRuehl" w:hAnsi="FrankRuehl" w:cs="FrankRuehl"/>
          <w:b/>
          <w:bCs/>
          <w:color w:val="000000"/>
          <w:sz w:val="26"/>
          <w:szCs w:val="26"/>
          <w:rtl/>
        </w:rPr>
        <w:t>צבי תדמור נ' ישפאר חברה אלקטרונית למסחר בע"מ</w:t>
      </w:r>
      <w:r w:rsidR="00033970" w:rsidRPr="00033970">
        <w:rPr>
          <w:rFonts w:ascii="FrankRuehl" w:hAnsi="FrankRuehl" w:cs="FrankRuehl"/>
          <w:color w:val="000000"/>
          <w:sz w:val="26"/>
          <w:szCs w:val="26"/>
        </w:rPr>
        <w:t>,</w:t>
      </w:r>
      <w:r w:rsidR="00033970">
        <w:rPr>
          <w:rFonts w:ascii="FrankRuehl" w:hAnsi="FrankRuehl" w:cs="FrankRuehl" w:hint="cs"/>
          <w:color w:val="000000"/>
          <w:sz w:val="26"/>
          <w:szCs w:val="26"/>
          <w:rtl/>
        </w:rPr>
        <w:t xml:space="preserve"> פ"ד </w:t>
      </w:r>
      <w:r w:rsidR="00033970" w:rsidRPr="00033970">
        <w:rPr>
          <w:rFonts w:ascii="FrankRuehl" w:hAnsi="FrankRuehl" w:cs="FrankRuehl"/>
          <w:color w:val="000000"/>
          <w:sz w:val="26"/>
          <w:szCs w:val="26"/>
          <w:rtl/>
        </w:rPr>
        <w:t>מז(2) 517</w:t>
      </w:r>
      <w:r w:rsidR="00033970">
        <w:rPr>
          <w:rFonts w:ascii="FrankRuehl" w:hAnsi="FrankRuehl" w:cs="FrankRuehl" w:hint="cs"/>
          <w:color w:val="000000"/>
          <w:sz w:val="26"/>
          <w:szCs w:val="26"/>
          <w:rtl/>
        </w:rPr>
        <w:t>, 523</w:t>
      </w:r>
      <w:r w:rsidR="00033970" w:rsidRPr="00033970">
        <w:rPr>
          <w:rFonts w:ascii="FrankRuehl" w:hAnsi="FrankRuehl" w:cs="FrankRuehl"/>
          <w:color w:val="000000"/>
          <w:sz w:val="26"/>
          <w:szCs w:val="26"/>
          <w:rtl/>
        </w:rPr>
        <w:t xml:space="preserve"> (1993)</w:t>
      </w:r>
      <w:r w:rsidR="00033970" w:rsidRPr="00033970">
        <w:rPr>
          <w:rFonts w:ascii="FrankRuehl" w:hAnsi="FrankRuehl" w:cs="FrankRuehl" w:hint="cs"/>
          <w:color w:val="000000"/>
          <w:sz w:val="26"/>
          <w:szCs w:val="26"/>
          <w:rtl/>
        </w:rPr>
        <w:t>. הנתבעת לא הרימה נטל זה ולו בדוחק.</w:t>
      </w:r>
      <w:r w:rsidR="00033970">
        <w:rPr>
          <w:rFonts w:ascii="FrankRuehl" w:hAnsi="FrankRuehl" w:cs="FrankRuehl" w:hint="cs"/>
          <w:color w:val="000000"/>
          <w:sz w:val="26"/>
          <w:szCs w:val="26"/>
          <w:rtl/>
        </w:rPr>
        <w:t xml:space="preserve"> </w:t>
      </w:r>
    </w:p>
    <w:p w:rsidR="008245E0" w:rsidRDefault="00B96B66" w:rsidP="00144A9B">
      <w:pPr>
        <w:pStyle w:val="ad"/>
        <w:numPr>
          <w:ilvl w:val="0"/>
          <w:numId w:val="1"/>
        </w:numPr>
        <w:spacing w:after="240" w:line="360" w:lineRule="auto"/>
        <w:contextualSpacing w:val="0"/>
        <w:jc w:val="both"/>
        <w:rPr>
          <w:rFonts w:ascii="FrankRuehl" w:hAnsi="FrankRuehl" w:cs="FrankRuehl"/>
          <w:color w:val="000000"/>
          <w:sz w:val="26"/>
          <w:szCs w:val="26"/>
        </w:rPr>
      </w:pPr>
      <w:r>
        <w:rPr>
          <w:rFonts w:ascii="FrankRuehl" w:hAnsi="FrankRuehl" w:cs="FrankRuehl" w:hint="cs"/>
          <w:noProof w:val="0"/>
          <w:sz w:val="26"/>
          <w:szCs w:val="26"/>
          <w:rtl/>
        </w:rPr>
        <w:t>הנתבעת ט</w:t>
      </w:r>
      <w:r w:rsidR="00C753A3">
        <w:rPr>
          <w:rFonts w:ascii="FrankRuehl" w:hAnsi="FrankRuehl" w:cs="FrankRuehl" w:hint="cs"/>
          <w:noProof w:val="0"/>
          <w:sz w:val="26"/>
          <w:szCs w:val="26"/>
          <w:rtl/>
        </w:rPr>
        <w:t>וענת, בשפה רפה,</w:t>
      </w:r>
      <w:r>
        <w:rPr>
          <w:rFonts w:ascii="FrankRuehl" w:hAnsi="FrankRuehl" w:cs="FrankRuehl" w:hint="cs"/>
          <w:noProof w:val="0"/>
          <w:sz w:val="26"/>
          <w:szCs w:val="26"/>
          <w:rtl/>
        </w:rPr>
        <w:t xml:space="preserve"> לביטול ההסכם בעילות של סיכול, </w:t>
      </w:r>
      <w:r w:rsidR="00A24EC5" w:rsidRPr="00AF121B">
        <w:rPr>
          <w:rFonts w:ascii="FrankRuehl" w:hAnsi="FrankRuehl" w:cs="FrankRuehl" w:hint="cs"/>
          <w:noProof w:val="0"/>
          <w:sz w:val="26"/>
          <w:szCs w:val="26"/>
          <w:rtl/>
        </w:rPr>
        <w:t xml:space="preserve">עושק וטעות. טענות אלה נטענו מצוות אנשים מלומדה, ללא ביסוס עובדתי ומשפטי של ממש. </w:t>
      </w:r>
      <w:r w:rsidR="00F02CCC">
        <w:rPr>
          <w:rFonts w:ascii="FrankRuehl" w:hAnsi="FrankRuehl" w:cs="FrankRuehl" w:hint="cs"/>
          <w:noProof w:val="0"/>
          <w:sz w:val="26"/>
          <w:szCs w:val="26"/>
          <w:rtl/>
        </w:rPr>
        <w:t xml:space="preserve">להשלמת ההנמקה - </w:t>
      </w:r>
      <w:r>
        <w:rPr>
          <w:rFonts w:ascii="FrankRuehl" w:hAnsi="FrankRuehl" w:cs="FrankRuehl" w:hint="cs"/>
          <w:color w:val="000000"/>
          <w:sz w:val="26"/>
          <w:szCs w:val="26"/>
          <w:rtl/>
        </w:rPr>
        <w:t>גם אילו קיבלתי את טענת הנתבעת</w:t>
      </w:r>
      <w:r w:rsidR="00F02CCC">
        <w:rPr>
          <w:rFonts w:ascii="FrankRuehl" w:hAnsi="FrankRuehl" w:cs="FrankRuehl" w:hint="cs"/>
          <w:color w:val="000000"/>
          <w:sz w:val="26"/>
          <w:szCs w:val="26"/>
          <w:rtl/>
        </w:rPr>
        <w:t>,</w:t>
      </w:r>
      <w:r>
        <w:rPr>
          <w:rFonts w:ascii="FrankRuehl" w:hAnsi="FrankRuehl" w:cs="FrankRuehl" w:hint="cs"/>
          <w:color w:val="000000"/>
          <w:sz w:val="26"/>
          <w:szCs w:val="26"/>
          <w:rtl/>
        </w:rPr>
        <w:t xml:space="preserve"> לעניין בטלנותו של התובע</w:t>
      </w:r>
      <w:r w:rsidR="005058B1">
        <w:rPr>
          <w:rFonts w:ascii="FrankRuehl" w:hAnsi="FrankRuehl" w:cs="FrankRuehl" w:hint="cs"/>
          <w:color w:val="000000"/>
          <w:sz w:val="26"/>
          <w:szCs w:val="26"/>
          <w:rtl/>
        </w:rPr>
        <w:t xml:space="preserve"> (שלא הוכחה)</w:t>
      </w:r>
      <w:r>
        <w:rPr>
          <w:rFonts w:ascii="FrankRuehl" w:hAnsi="FrankRuehl" w:cs="FrankRuehl" w:hint="cs"/>
          <w:color w:val="000000"/>
          <w:sz w:val="26"/>
          <w:szCs w:val="26"/>
          <w:rtl/>
        </w:rPr>
        <w:t xml:space="preserve">, </w:t>
      </w:r>
      <w:r w:rsidR="005058B1">
        <w:rPr>
          <w:rFonts w:ascii="FrankRuehl" w:hAnsi="FrankRuehl" w:cs="FrankRuehl" w:hint="cs"/>
          <w:color w:val="000000"/>
          <w:sz w:val="26"/>
          <w:szCs w:val="26"/>
          <w:rtl/>
        </w:rPr>
        <w:t xml:space="preserve">אין קשר בין טענה זו </w:t>
      </w:r>
      <w:r w:rsidR="00C753A3">
        <w:rPr>
          <w:rFonts w:ascii="FrankRuehl" w:hAnsi="FrankRuehl" w:cs="FrankRuehl" w:hint="cs"/>
          <w:color w:val="000000"/>
          <w:sz w:val="26"/>
          <w:szCs w:val="26"/>
          <w:rtl/>
        </w:rPr>
        <w:t>לסיכול</w:t>
      </w:r>
      <w:r w:rsidR="005058B1">
        <w:rPr>
          <w:rFonts w:ascii="FrankRuehl" w:hAnsi="FrankRuehl" w:cs="FrankRuehl" w:hint="cs"/>
          <w:color w:val="000000"/>
          <w:sz w:val="26"/>
          <w:szCs w:val="26"/>
          <w:rtl/>
        </w:rPr>
        <w:t xml:space="preserve"> ההסכם. זאת</w:t>
      </w:r>
      <w:r w:rsidR="007A3D08">
        <w:rPr>
          <w:rFonts w:ascii="FrankRuehl" w:hAnsi="FrankRuehl" w:cs="FrankRuehl" w:hint="cs"/>
          <w:color w:val="000000"/>
          <w:sz w:val="26"/>
          <w:szCs w:val="26"/>
          <w:rtl/>
        </w:rPr>
        <w:t xml:space="preserve">, </w:t>
      </w:r>
      <w:r w:rsidR="005058B1">
        <w:rPr>
          <w:rFonts w:ascii="FrankRuehl" w:hAnsi="FrankRuehl" w:cs="FrankRuehl" w:hint="cs"/>
          <w:color w:val="000000"/>
          <w:sz w:val="26"/>
          <w:szCs w:val="26"/>
          <w:rtl/>
        </w:rPr>
        <w:t xml:space="preserve">בין השאר, </w:t>
      </w:r>
      <w:r w:rsidR="007A3D08">
        <w:rPr>
          <w:rFonts w:ascii="FrankRuehl" w:hAnsi="FrankRuehl" w:cs="FrankRuehl" w:hint="cs"/>
          <w:color w:val="000000"/>
          <w:sz w:val="26"/>
          <w:szCs w:val="26"/>
          <w:rtl/>
        </w:rPr>
        <w:t>משום</w:t>
      </w:r>
      <w:r w:rsidR="005058B1">
        <w:rPr>
          <w:rFonts w:ascii="FrankRuehl" w:hAnsi="FrankRuehl" w:cs="FrankRuehl" w:hint="cs"/>
          <w:color w:val="000000"/>
          <w:sz w:val="26"/>
          <w:szCs w:val="26"/>
          <w:rtl/>
        </w:rPr>
        <w:t>,</w:t>
      </w:r>
      <w:r w:rsidR="007A3D08">
        <w:rPr>
          <w:rFonts w:ascii="FrankRuehl" w:hAnsi="FrankRuehl" w:cs="FrankRuehl" w:hint="cs"/>
          <w:color w:val="000000"/>
          <w:sz w:val="26"/>
          <w:szCs w:val="26"/>
          <w:rtl/>
        </w:rPr>
        <w:t xml:space="preserve"> שלא מדובר בהתפתחות</w:t>
      </w:r>
      <w:r w:rsidR="00144A9B">
        <w:rPr>
          <w:rFonts w:ascii="FrankRuehl" w:hAnsi="FrankRuehl" w:cs="FrankRuehl" w:hint="cs"/>
          <w:color w:val="000000"/>
          <w:sz w:val="26"/>
          <w:szCs w:val="26"/>
          <w:rtl/>
        </w:rPr>
        <w:t>,</w:t>
      </w:r>
      <w:r w:rsidR="007A3D08">
        <w:rPr>
          <w:rFonts w:ascii="FrankRuehl" w:hAnsi="FrankRuehl" w:cs="FrankRuehl" w:hint="cs"/>
          <w:color w:val="000000"/>
          <w:sz w:val="26"/>
          <w:szCs w:val="26"/>
          <w:rtl/>
        </w:rPr>
        <w:t xml:space="preserve"> שלא ניתן היה לצפות</w:t>
      </w:r>
      <w:r w:rsidR="005058B1">
        <w:rPr>
          <w:rFonts w:ascii="FrankRuehl" w:hAnsi="FrankRuehl" w:cs="FrankRuehl" w:hint="cs"/>
          <w:color w:val="000000"/>
          <w:sz w:val="26"/>
          <w:szCs w:val="26"/>
          <w:rtl/>
        </w:rPr>
        <w:t xml:space="preserve"> בעת כריתת ההסכם (</w:t>
      </w:r>
      <w:r w:rsidR="007A3D08">
        <w:rPr>
          <w:rFonts w:ascii="FrankRuehl" w:hAnsi="FrankRuehl" w:cs="FrankRuehl" w:hint="cs"/>
          <w:color w:val="000000"/>
          <w:sz w:val="26"/>
          <w:szCs w:val="26"/>
          <w:rtl/>
        </w:rPr>
        <w:t>סעיף 18(א) לחוק החוזים תרופות</w:t>
      </w:r>
      <w:r w:rsidR="005058B1">
        <w:rPr>
          <w:rFonts w:ascii="FrankRuehl" w:hAnsi="FrankRuehl" w:cs="FrankRuehl" w:hint="cs"/>
          <w:color w:val="000000"/>
          <w:sz w:val="26"/>
          <w:szCs w:val="26"/>
          <w:rtl/>
        </w:rPr>
        <w:t>)</w:t>
      </w:r>
      <w:r w:rsidR="007A3D08">
        <w:rPr>
          <w:rFonts w:ascii="FrankRuehl" w:hAnsi="FrankRuehl" w:cs="FrankRuehl" w:hint="cs"/>
          <w:color w:val="000000"/>
          <w:sz w:val="26"/>
          <w:szCs w:val="26"/>
          <w:rtl/>
        </w:rPr>
        <w:t xml:space="preserve">. הדבר לא קשור </w:t>
      </w:r>
      <w:r w:rsidR="005058B1">
        <w:rPr>
          <w:rFonts w:ascii="FrankRuehl" w:hAnsi="FrankRuehl" w:cs="FrankRuehl" w:hint="cs"/>
          <w:color w:val="000000"/>
          <w:sz w:val="26"/>
          <w:szCs w:val="26"/>
          <w:rtl/>
        </w:rPr>
        <w:t>לעילת ה</w:t>
      </w:r>
      <w:r w:rsidR="007A3D08">
        <w:rPr>
          <w:rFonts w:ascii="FrankRuehl" w:hAnsi="FrankRuehl" w:cs="FrankRuehl" w:hint="cs"/>
          <w:color w:val="000000"/>
          <w:sz w:val="26"/>
          <w:szCs w:val="26"/>
          <w:rtl/>
        </w:rPr>
        <w:t xml:space="preserve">עושק, משום </w:t>
      </w:r>
      <w:r w:rsidR="005058B1">
        <w:rPr>
          <w:rFonts w:ascii="FrankRuehl" w:hAnsi="FrankRuehl" w:cs="FrankRuehl" w:hint="cs"/>
          <w:color w:val="000000"/>
          <w:sz w:val="26"/>
          <w:szCs w:val="26"/>
          <w:rtl/>
        </w:rPr>
        <w:t>היעדר</w:t>
      </w:r>
      <w:r w:rsidR="007A3D08">
        <w:rPr>
          <w:rFonts w:ascii="FrankRuehl" w:hAnsi="FrankRuehl" w:cs="FrankRuehl" w:hint="cs"/>
          <w:color w:val="000000"/>
          <w:sz w:val="26"/>
          <w:szCs w:val="26"/>
          <w:rtl/>
        </w:rPr>
        <w:t xml:space="preserve"> קשר סיבתי</w:t>
      </w:r>
      <w:r w:rsidR="005058B1">
        <w:rPr>
          <w:rFonts w:ascii="FrankRuehl" w:hAnsi="FrankRuehl" w:cs="FrankRuehl" w:hint="cs"/>
          <w:color w:val="000000"/>
          <w:sz w:val="26"/>
          <w:szCs w:val="26"/>
          <w:rtl/>
        </w:rPr>
        <w:t>,</w:t>
      </w:r>
      <w:r w:rsidR="007A3D08">
        <w:rPr>
          <w:rFonts w:ascii="FrankRuehl" w:hAnsi="FrankRuehl" w:cs="FrankRuehl" w:hint="cs"/>
          <w:color w:val="000000"/>
          <w:sz w:val="26"/>
          <w:szCs w:val="26"/>
          <w:rtl/>
        </w:rPr>
        <w:t xml:space="preserve"> בין הטענה לבין כריתת ההסכם (סעיף 18 רישא לחוק החוזים). הדבר אף לא קשור לטעות חוזית, משום, שכאמור, מדובר בהתפתחות (נטענת)</w:t>
      </w:r>
      <w:r w:rsidR="005058B1">
        <w:rPr>
          <w:rFonts w:ascii="FrankRuehl" w:hAnsi="FrankRuehl" w:cs="FrankRuehl" w:hint="cs"/>
          <w:color w:val="000000"/>
          <w:sz w:val="26"/>
          <w:szCs w:val="26"/>
          <w:rtl/>
        </w:rPr>
        <w:t>,</w:t>
      </w:r>
      <w:r w:rsidR="007A3D08">
        <w:rPr>
          <w:rFonts w:ascii="FrankRuehl" w:hAnsi="FrankRuehl" w:cs="FrankRuehl" w:hint="cs"/>
          <w:color w:val="000000"/>
          <w:sz w:val="26"/>
          <w:szCs w:val="26"/>
          <w:rtl/>
        </w:rPr>
        <w:t xml:space="preserve"> שניתן היה לחזות. </w:t>
      </w:r>
      <w:r w:rsidR="00233489">
        <w:rPr>
          <w:rFonts w:ascii="FrankRuehl" w:hAnsi="FrankRuehl" w:cs="FrankRuehl"/>
          <w:color w:val="000000"/>
          <w:sz w:val="26"/>
          <w:szCs w:val="26"/>
          <w:rtl/>
        </w:rPr>
        <w:tab/>
      </w:r>
      <w:r w:rsidR="00233489">
        <w:rPr>
          <w:rFonts w:ascii="FrankRuehl" w:hAnsi="FrankRuehl" w:cs="FrankRuehl"/>
          <w:color w:val="000000"/>
          <w:sz w:val="26"/>
          <w:szCs w:val="26"/>
          <w:rtl/>
        </w:rPr>
        <w:br/>
      </w:r>
    </w:p>
    <w:p w:rsidR="00A24EC5" w:rsidRDefault="007A3D08" w:rsidP="008245E0">
      <w:pPr>
        <w:pStyle w:val="ad"/>
        <w:spacing w:after="240" w:line="360" w:lineRule="auto"/>
        <w:ind w:left="360"/>
        <w:contextualSpacing w:val="0"/>
        <w:jc w:val="both"/>
        <w:rPr>
          <w:rFonts w:ascii="FrankRuehl" w:hAnsi="FrankRuehl" w:cs="FrankRuehl"/>
          <w:color w:val="000000"/>
          <w:sz w:val="26"/>
          <w:szCs w:val="26"/>
        </w:rPr>
      </w:pPr>
      <w:r>
        <w:rPr>
          <w:rFonts w:ascii="FrankRuehl" w:hAnsi="FrankRuehl" w:cs="FrankRuehl" w:hint="cs"/>
          <w:color w:val="000000"/>
          <w:sz w:val="26"/>
          <w:szCs w:val="26"/>
          <w:rtl/>
        </w:rPr>
        <w:lastRenderedPageBreak/>
        <w:t xml:space="preserve">לפיכך, מדובר, </w:t>
      </w:r>
      <w:r w:rsidR="005058B1">
        <w:rPr>
          <w:rFonts w:ascii="FrankRuehl" w:hAnsi="FrankRuehl" w:cs="FrankRuehl" w:hint="cs"/>
          <w:color w:val="000000"/>
          <w:sz w:val="26"/>
          <w:szCs w:val="26"/>
          <w:rtl/>
        </w:rPr>
        <w:t>לכל היותר, בטעות בכדאיות ההסכם, שאיננה מבססת עילת ביטול (סעיף 14(ד) לחוק החוזים</w:t>
      </w:r>
      <w:r w:rsidR="00BC66B9">
        <w:rPr>
          <w:rFonts w:ascii="FrankRuehl" w:hAnsi="FrankRuehl" w:cs="FrankRuehl" w:hint="cs"/>
          <w:color w:val="000000"/>
          <w:sz w:val="26"/>
          <w:szCs w:val="26"/>
          <w:rtl/>
        </w:rPr>
        <w:t xml:space="preserve">, ור' לעניין מבחן נטילת הסיכון - </w:t>
      </w:r>
      <w:r w:rsidR="00BC66B9" w:rsidRPr="00BC66B9">
        <w:rPr>
          <w:rFonts w:ascii="FrankRuehl" w:hAnsi="FrankRuehl" w:cs="FrankRuehl"/>
          <w:color w:val="000000"/>
          <w:sz w:val="26"/>
          <w:szCs w:val="26"/>
          <w:rtl/>
        </w:rPr>
        <w:t xml:space="preserve">ע"א 3865/19 </w:t>
      </w:r>
      <w:r w:rsidR="00BC66B9" w:rsidRPr="00BC66B9">
        <w:rPr>
          <w:rFonts w:ascii="FrankRuehl" w:hAnsi="FrankRuehl" w:cs="FrankRuehl"/>
          <w:b/>
          <w:bCs/>
          <w:color w:val="000000"/>
          <w:sz w:val="26"/>
          <w:szCs w:val="26"/>
          <w:rtl/>
        </w:rPr>
        <w:t>משה אליאסיאן נ' מאיר שבו</w:t>
      </w:r>
      <w:r w:rsidR="00BC66B9" w:rsidRPr="00BC66B9">
        <w:rPr>
          <w:rFonts w:ascii="FrankRuehl" w:hAnsi="FrankRuehl" w:cs="FrankRuehl"/>
          <w:color w:val="000000"/>
          <w:sz w:val="26"/>
          <w:szCs w:val="26"/>
          <w:rtl/>
        </w:rPr>
        <w:t xml:space="preserve"> (11.09.2022)</w:t>
      </w:r>
      <w:r w:rsidR="00BC66B9">
        <w:rPr>
          <w:rFonts w:ascii="FrankRuehl" w:hAnsi="FrankRuehl" w:cs="FrankRuehl" w:hint="cs"/>
          <w:color w:val="000000"/>
          <w:sz w:val="26"/>
          <w:szCs w:val="26"/>
          <w:rtl/>
        </w:rPr>
        <w:t xml:space="preserve"> </w:t>
      </w:r>
      <w:r w:rsidR="005058B1">
        <w:rPr>
          <w:rFonts w:ascii="FrankRuehl" w:hAnsi="FrankRuehl" w:cs="FrankRuehl" w:hint="cs"/>
          <w:color w:val="000000"/>
          <w:sz w:val="26"/>
          <w:szCs w:val="26"/>
          <w:rtl/>
        </w:rPr>
        <w:t>).</w:t>
      </w:r>
      <w:r>
        <w:rPr>
          <w:rFonts w:ascii="FrankRuehl" w:hAnsi="FrankRuehl" w:cs="FrankRuehl" w:hint="cs"/>
          <w:color w:val="000000"/>
          <w:sz w:val="26"/>
          <w:szCs w:val="26"/>
          <w:rtl/>
        </w:rPr>
        <w:t xml:space="preserve"> </w:t>
      </w:r>
      <w:r w:rsidR="008462A0">
        <w:rPr>
          <w:rFonts w:ascii="FrankRuehl" w:hAnsi="FrankRuehl" w:cs="FrankRuehl" w:hint="cs"/>
          <w:color w:val="000000"/>
          <w:sz w:val="26"/>
          <w:szCs w:val="26"/>
          <w:rtl/>
        </w:rPr>
        <w:t xml:space="preserve">הדברים קל וחומר, </w:t>
      </w:r>
      <w:r w:rsidR="001932B3">
        <w:rPr>
          <w:rFonts w:ascii="FrankRuehl" w:hAnsi="FrankRuehl" w:cs="FrankRuehl" w:hint="cs"/>
          <w:color w:val="000000"/>
          <w:sz w:val="26"/>
          <w:szCs w:val="26"/>
          <w:rtl/>
        </w:rPr>
        <w:t xml:space="preserve">לאור הודאת </w:t>
      </w:r>
      <w:r w:rsidR="008462A0">
        <w:rPr>
          <w:rFonts w:ascii="FrankRuehl" w:hAnsi="FrankRuehl" w:cs="FrankRuehl" w:hint="cs"/>
          <w:color w:val="000000"/>
          <w:sz w:val="26"/>
          <w:szCs w:val="26"/>
          <w:rtl/>
        </w:rPr>
        <w:t>הנתבעת</w:t>
      </w:r>
      <w:r w:rsidR="001932B3">
        <w:rPr>
          <w:rFonts w:ascii="FrankRuehl" w:hAnsi="FrankRuehl" w:cs="FrankRuehl" w:hint="cs"/>
          <w:color w:val="000000"/>
          <w:sz w:val="26"/>
          <w:szCs w:val="26"/>
          <w:rtl/>
        </w:rPr>
        <w:t xml:space="preserve">, </w:t>
      </w:r>
      <w:r w:rsidR="008462A0">
        <w:rPr>
          <w:rFonts w:ascii="FrankRuehl" w:hAnsi="FrankRuehl" w:cs="FrankRuehl" w:hint="cs"/>
          <w:color w:val="000000"/>
          <w:sz w:val="26"/>
          <w:szCs w:val="26"/>
          <w:rtl/>
        </w:rPr>
        <w:t>ששני הצדדים עבדו קשה</w:t>
      </w:r>
      <w:r w:rsidR="005058B1">
        <w:rPr>
          <w:rFonts w:ascii="FrankRuehl" w:hAnsi="FrankRuehl" w:cs="FrankRuehl" w:hint="cs"/>
          <w:color w:val="000000"/>
          <w:sz w:val="26"/>
          <w:szCs w:val="26"/>
          <w:rtl/>
        </w:rPr>
        <w:t>,</w:t>
      </w:r>
      <w:r w:rsidR="008462A0">
        <w:rPr>
          <w:rFonts w:ascii="FrankRuehl" w:hAnsi="FrankRuehl" w:cs="FrankRuehl" w:hint="cs"/>
          <w:color w:val="000000"/>
          <w:sz w:val="26"/>
          <w:szCs w:val="26"/>
          <w:rtl/>
        </w:rPr>
        <w:t xml:space="preserve"> לפחות עד </w:t>
      </w:r>
      <w:r w:rsidR="005E57A2">
        <w:rPr>
          <w:rFonts w:ascii="FrankRuehl" w:hAnsi="FrankRuehl" w:cs="FrankRuehl" w:hint="cs"/>
          <w:color w:val="000000"/>
          <w:sz w:val="26"/>
          <w:szCs w:val="26"/>
          <w:rtl/>
        </w:rPr>
        <w:t>לשנים 2017-2018</w:t>
      </w:r>
      <w:r w:rsidR="00E8242C">
        <w:rPr>
          <w:rFonts w:ascii="FrankRuehl" w:hAnsi="FrankRuehl" w:cs="FrankRuehl" w:hint="cs"/>
          <w:color w:val="000000"/>
          <w:sz w:val="26"/>
          <w:szCs w:val="26"/>
          <w:rtl/>
        </w:rPr>
        <w:t xml:space="preserve"> (</w:t>
      </w:r>
      <w:r w:rsidR="005E57A2">
        <w:rPr>
          <w:rFonts w:ascii="FrankRuehl" w:hAnsi="FrankRuehl" w:cs="FrankRuehl" w:hint="cs"/>
          <w:color w:val="000000"/>
          <w:sz w:val="26"/>
          <w:szCs w:val="26"/>
          <w:rtl/>
        </w:rPr>
        <w:t xml:space="preserve">עמ' 178 שו' 13-26, </w:t>
      </w:r>
      <w:r w:rsidR="00E8242C">
        <w:rPr>
          <w:rFonts w:ascii="FrankRuehl" w:hAnsi="FrankRuehl" w:cs="FrankRuehl" w:hint="cs"/>
          <w:color w:val="000000"/>
          <w:sz w:val="26"/>
          <w:szCs w:val="26"/>
          <w:rtl/>
        </w:rPr>
        <w:t>עמ' 179 שו' 4-5</w:t>
      </w:r>
      <w:r w:rsidR="00D50992">
        <w:rPr>
          <w:rFonts w:ascii="FrankRuehl" w:hAnsi="FrankRuehl" w:cs="FrankRuehl" w:hint="cs"/>
          <w:color w:val="000000"/>
          <w:sz w:val="26"/>
          <w:szCs w:val="26"/>
          <w:rtl/>
        </w:rPr>
        <w:t>, סעיף 36 לסיכומי הנתבעת</w:t>
      </w:r>
      <w:r w:rsidR="00E8242C">
        <w:rPr>
          <w:rFonts w:ascii="FrankRuehl" w:hAnsi="FrankRuehl" w:cs="FrankRuehl" w:hint="cs"/>
          <w:color w:val="000000"/>
          <w:sz w:val="26"/>
          <w:szCs w:val="26"/>
          <w:rtl/>
        </w:rPr>
        <w:t>)</w:t>
      </w:r>
      <w:r w:rsidR="005058B1">
        <w:rPr>
          <w:rFonts w:ascii="FrankRuehl" w:hAnsi="FrankRuehl" w:cs="FrankRuehl" w:hint="cs"/>
          <w:color w:val="000000"/>
          <w:sz w:val="26"/>
          <w:szCs w:val="26"/>
          <w:rtl/>
        </w:rPr>
        <w:t>.</w:t>
      </w:r>
      <w:r w:rsidR="00F02CCC">
        <w:rPr>
          <w:rFonts w:ascii="FrankRuehl" w:hAnsi="FrankRuehl" w:cs="FrankRuehl" w:hint="cs"/>
          <w:color w:val="000000"/>
          <w:sz w:val="26"/>
          <w:szCs w:val="26"/>
          <w:rtl/>
        </w:rPr>
        <w:t xml:space="preserve"> אלא, שהנתבעת בחרה לנתק את הקשר עם התובע רק בחלוף כ</w:t>
      </w:r>
      <w:r w:rsidR="00571250">
        <w:rPr>
          <w:rFonts w:ascii="FrankRuehl" w:hAnsi="FrankRuehl" w:cs="FrankRuehl" w:hint="cs"/>
          <w:color w:val="000000"/>
          <w:sz w:val="26"/>
          <w:szCs w:val="26"/>
          <w:rtl/>
        </w:rPr>
        <w:t>ארבע</w:t>
      </w:r>
      <w:r w:rsidR="00F02CCC">
        <w:rPr>
          <w:rFonts w:ascii="FrankRuehl" w:hAnsi="FrankRuehl" w:cs="FrankRuehl" w:hint="cs"/>
          <w:color w:val="000000"/>
          <w:sz w:val="26"/>
          <w:szCs w:val="26"/>
          <w:rtl/>
        </w:rPr>
        <w:t xml:space="preserve"> שנים!</w:t>
      </w:r>
      <w:r w:rsidR="005058B1">
        <w:rPr>
          <w:rFonts w:ascii="FrankRuehl" w:hAnsi="FrankRuehl" w:cs="FrankRuehl" w:hint="cs"/>
          <w:color w:val="000000"/>
          <w:sz w:val="26"/>
          <w:szCs w:val="26"/>
          <w:rtl/>
        </w:rPr>
        <w:t xml:space="preserve"> </w:t>
      </w:r>
    </w:p>
    <w:p w:rsidR="00B4358C" w:rsidRDefault="00B96B66" w:rsidP="007C02EA">
      <w:pPr>
        <w:pStyle w:val="ad"/>
        <w:numPr>
          <w:ilvl w:val="0"/>
          <w:numId w:val="1"/>
        </w:numPr>
        <w:spacing w:after="240" w:line="360" w:lineRule="auto"/>
        <w:contextualSpacing w:val="0"/>
        <w:jc w:val="both"/>
        <w:rPr>
          <w:rFonts w:ascii="FrankRuehl" w:hAnsi="FrankRuehl" w:cs="FrankRuehl"/>
          <w:color w:val="000000"/>
          <w:sz w:val="26"/>
          <w:szCs w:val="26"/>
        </w:rPr>
      </w:pPr>
      <w:r w:rsidRPr="0083364A">
        <w:rPr>
          <w:rFonts w:ascii="FrankRuehl" w:hAnsi="FrankRuehl" w:cs="FrankRuehl" w:hint="cs"/>
          <w:color w:val="000000"/>
          <w:sz w:val="26"/>
          <w:szCs w:val="26"/>
          <w:rtl/>
        </w:rPr>
        <w:t>טענה שיש בה ממש</w:t>
      </w:r>
      <w:r w:rsidR="009D3A88" w:rsidRPr="0083364A">
        <w:rPr>
          <w:rFonts w:ascii="FrankRuehl" w:hAnsi="FrankRuehl" w:cs="FrankRuehl" w:hint="cs"/>
          <w:color w:val="000000"/>
          <w:sz w:val="26"/>
          <w:szCs w:val="26"/>
          <w:rtl/>
        </w:rPr>
        <w:t>, היא טענת הנתבעת, בדבר בטלות ההסכם</w:t>
      </w:r>
      <w:r w:rsidR="00144A9B">
        <w:rPr>
          <w:rFonts w:ascii="FrankRuehl" w:hAnsi="FrankRuehl" w:cs="FrankRuehl" w:hint="cs"/>
          <w:color w:val="000000"/>
          <w:sz w:val="26"/>
          <w:szCs w:val="26"/>
          <w:rtl/>
        </w:rPr>
        <w:t>,</w:t>
      </w:r>
      <w:r w:rsidR="009D3A88" w:rsidRPr="0083364A">
        <w:rPr>
          <w:rFonts w:ascii="FrankRuehl" w:hAnsi="FrankRuehl" w:cs="FrankRuehl" w:hint="cs"/>
          <w:color w:val="000000"/>
          <w:sz w:val="26"/>
          <w:szCs w:val="26"/>
          <w:rtl/>
        </w:rPr>
        <w:t xml:space="preserve"> ממועד נישואי הצדדים</w:t>
      </w:r>
      <w:r w:rsidR="0069502F" w:rsidRPr="0083364A">
        <w:rPr>
          <w:rFonts w:ascii="FrankRuehl" w:hAnsi="FrankRuehl" w:cs="FrankRuehl" w:hint="cs"/>
          <w:color w:val="000000"/>
          <w:sz w:val="26"/>
          <w:szCs w:val="26"/>
          <w:rtl/>
        </w:rPr>
        <w:t xml:space="preserve">. </w:t>
      </w:r>
      <w:r w:rsidR="0083364A" w:rsidRPr="0083364A">
        <w:rPr>
          <w:rFonts w:ascii="FrankRuehl" w:hAnsi="FrankRuehl" w:cs="FrankRuehl" w:hint="cs"/>
          <w:color w:val="000000"/>
          <w:sz w:val="26"/>
          <w:szCs w:val="26"/>
          <w:rtl/>
        </w:rPr>
        <w:t xml:space="preserve">שתי הערות </w:t>
      </w:r>
      <w:r w:rsidR="00247470" w:rsidRPr="0083364A">
        <w:rPr>
          <w:rFonts w:ascii="FrankRuehl" w:hAnsi="FrankRuehl" w:cs="FrankRuehl" w:hint="cs"/>
          <w:color w:val="000000"/>
          <w:sz w:val="26"/>
          <w:szCs w:val="26"/>
          <w:rtl/>
        </w:rPr>
        <w:t>מקדימ</w:t>
      </w:r>
      <w:r w:rsidR="0083364A" w:rsidRPr="0083364A">
        <w:rPr>
          <w:rFonts w:ascii="FrankRuehl" w:hAnsi="FrankRuehl" w:cs="FrankRuehl" w:hint="cs"/>
          <w:color w:val="000000"/>
          <w:sz w:val="26"/>
          <w:szCs w:val="26"/>
          <w:rtl/>
        </w:rPr>
        <w:t xml:space="preserve">ות: </w:t>
      </w:r>
      <w:r w:rsidR="0083364A" w:rsidRPr="00CC13FB">
        <w:rPr>
          <w:rFonts w:ascii="FrankRuehl" w:hAnsi="FrankRuehl" w:cs="FrankRuehl" w:hint="cs"/>
          <w:b/>
          <w:bCs/>
          <w:color w:val="000000"/>
          <w:sz w:val="26"/>
          <w:szCs w:val="26"/>
          <w:rtl/>
        </w:rPr>
        <w:t>האחת</w:t>
      </w:r>
      <w:r w:rsidR="0083364A" w:rsidRPr="0083364A">
        <w:rPr>
          <w:rFonts w:ascii="FrankRuehl" w:hAnsi="FrankRuehl" w:cs="FrankRuehl" w:hint="cs"/>
          <w:color w:val="000000"/>
          <w:sz w:val="26"/>
          <w:szCs w:val="26"/>
          <w:rtl/>
        </w:rPr>
        <w:t xml:space="preserve">, </w:t>
      </w:r>
      <w:r w:rsidR="0069502F" w:rsidRPr="0083364A">
        <w:rPr>
          <w:rFonts w:ascii="FrankRuehl" w:hAnsi="FrankRuehl" w:cs="FrankRuehl" w:hint="cs"/>
          <w:color w:val="000000"/>
          <w:sz w:val="26"/>
          <w:szCs w:val="26"/>
          <w:rtl/>
        </w:rPr>
        <w:t>אין חולק</w:t>
      </w:r>
      <w:r w:rsidR="008A4085" w:rsidRPr="0083364A">
        <w:rPr>
          <w:rFonts w:ascii="FrankRuehl" w:hAnsi="FrankRuehl" w:cs="FrankRuehl" w:hint="cs"/>
          <w:color w:val="000000"/>
          <w:sz w:val="26"/>
          <w:szCs w:val="26"/>
          <w:rtl/>
        </w:rPr>
        <w:t>,</w:t>
      </w:r>
      <w:r w:rsidR="0069502F" w:rsidRPr="0083364A">
        <w:rPr>
          <w:rFonts w:ascii="FrankRuehl" w:hAnsi="FrankRuehl" w:cs="FrankRuehl" w:hint="cs"/>
          <w:color w:val="000000"/>
          <w:sz w:val="26"/>
          <w:szCs w:val="26"/>
          <w:rtl/>
        </w:rPr>
        <w:t xml:space="preserve"> ש</w:t>
      </w:r>
      <w:r w:rsidR="008A4085" w:rsidRPr="0083364A">
        <w:rPr>
          <w:rFonts w:ascii="FrankRuehl" w:hAnsi="FrankRuehl" w:cs="FrankRuehl" w:hint="cs"/>
          <w:color w:val="000000"/>
          <w:sz w:val="26"/>
          <w:szCs w:val="26"/>
          <w:rtl/>
        </w:rPr>
        <w:t xml:space="preserve">ההסכם הוא </w:t>
      </w:r>
      <w:r w:rsidR="0069502F" w:rsidRPr="0083364A">
        <w:rPr>
          <w:rFonts w:ascii="FrankRuehl" w:hAnsi="FrankRuehl" w:cs="FrankRuehl" w:hint="cs"/>
          <w:color w:val="000000"/>
          <w:sz w:val="26"/>
          <w:szCs w:val="26"/>
          <w:rtl/>
        </w:rPr>
        <w:t>הסכם ממון</w:t>
      </w:r>
      <w:r w:rsidR="00C53030" w:rsidRPr="0083364A">
        <w:rPr>
          <w:rFonts w:ascii="FrankRuehl" w:hAnsi="FrankRuehl" w:cs="FrankRuehl" w:hint="cs"/>
          <w:color w:val="000000"/>
          <w:sz w:val="26"/>
          <w:szCs w:val="26"/>
          <w:rtl/>
        </w:rPr>
        <w:t>,</w:t>
      </w:r>
      <w:r w:rsidR="008A4085" w:rsidRPr="0083364A">
        <w:rPr>
          <w:rFonts w:ascii="FrankRuehl" w:hAnsi="FrankRuehl" w:cs="FrankRuehl" w:hint="cs"/>
          <w:color w:val="000000"/>
          <w:sz w:val="26"/>
          <w:szCs w:val="26"/>
          <w:rtl/>
        </w:rPr>
        <w:t xml:space="preserve"> כמשמעותו ב</w:t>
      </w:r>
      <w:r w:rsidR="00C53030" w:rsidRPr="0083364A">
        <w:rPr>
          <w:rFonts w:ascii="FrankRuehl" w:hAnsi="FrankRuehl" w:cs="FrankRuehl" w:hint="cs"/>
          <w:color w:val="000000"/>
          <w:sz w:val="26"/>
          <w:szCs w:val="26"/>
          <w:rtl/>
        </w:rPr>
        <w:t xml:space="preserve">סעיף 1 </w:t>
      </w:r>
      <w:r w:rsidR="00072162" w:rsidRPr="0083364A">
        <w:rPr>
          <w:rFonts w:ascii="FrankRuehl" w:hAnsi="FrankRuehl" w:cs="FrankRuehl" w:hint="cs"/>
          <w:color w:val="000000"/>
          <w:sz w:val="26"/>
          <w:szCs w:val="26"/>
          <w:rtl/>
        </w:rPr>
        <w:t xml:space="preserve">לחוק יחסי ממון בין בני זוג, תשל"ג-1973 (להלן: </w:t>
      </w:r>
      <w:r w:rsidR="00072162" w:rsidRPr="0083364A">
        <w:rPr>
          <w:rFonts w:asciiTheme="minorBidi" w:hAnsiTheme="minorBidi" w:cstheme="minorBidi"/>
          <w:color w:val="000000"/>
          <w:rtl/>
        </w:rPr>
        <w:t>חוק יחסי ממון</w:t>
      </w:r>
      <w:r w:rsidR="00072162" w:rsidRPr="0083364A">
        <w:rPr>
          <w:rFonts w:ascii="FrankRuehl" w:hAnsi="FrankRuehl" w:cs="FrankRuehl" w:hint="cs"/>
          <w:color w:val="000000"/>
          <w:sz w:val="26"/>
          <w:szCs w:val="26"/>
          <w:rtl/>
        </w:rPr>
        <w:t>)</w:t>
      </w:r>
      <w:r w:rsidR="0069502F" w:rsidRPr="0083364A">
        <w:rPr>
          <w:rFonts w:ascii="FrankRuehl" w:hAnsi="FrankRuehl" w:cs="FrankRuehl" w:hint="cs"/>
          <w:color w:val="000000"/>
          <w:sz w:val="26"/>
          <w:szCs w:val="26"/>
          <w:rtl/>
        </w:rPr>
        <w:t xml:space="preserve"> (סעיף 4 לכתב התביעה).</w:t>
      </w:r>
      <w:r w:rsidR="0083364A" w:rsidRPr="0083364A">
        <w:rPr>
          <w:rFonts w:ascii="FrankRuehl" w:hAnsi="FrankRuehl" w:cs="FrankRuehl" w:hint="cs"/>
          <w:color w:val="000000"/>
          <w:sz w:val="26"/>
          <w:szCs w:val="26"/>
          <w:rtl/>
        </w:rPr>
        <w:t xml:space="preserve"> </w:t>
      </w:r>
      <w:r w:rsidR="0083364A" w:rsidRPr="00CC13FB">
        <w:rPr>
          <w:rFonts w:ascii="FrankRuehl" w:hAnsi="FrankRuehl" w:cs="FrankRuehl" w:hint="cs"/>
          <w:b/>
          <w:bCs/>
          <w:color w:val="000000"/>
          <w:sz w:val="26"/>
          <w:szCs w:val="26"/>
          <w:rtl/>
        </w:rPr>
        <w:t>השנייה</w:t>
      </w:r>
      <w:r w:rsidR="0083364A" w:rsidRPr="0083364A">
        <w:rPr>
          <w:rFonts w:ascii="FrankRuehl" w:hAnsi="FrankRuehl" w:cs="FrankRuehl" w:hint="cs"/>
          <w:color w:val="000000"/>
          <w:sz w:val="26"/>
          <w:szCs w:val="26"/>
          <w:rtl/>
        </w:rPr>
        <w:t>, שני הצדדים התייחסו לתוקף ההסכם לפי הדין הישראלי.</w:t>
      </w:r>
      <w:r w:rsidR="0069502F" w:rsidRPr="0083364A">
        <w:rPr>
          <w:rFonts w:ascii="FrankRuehl" w:hAnsi="FrankRuehl" w:cs="FrankRuehl" w:hint="cs"/>
          <w:color w:val="000000"/>
          <w:sz w:val="26"/>
          <w:szCs w:val="26"/>
          <w:rtl/>
        </w:rPr>
        <w:t xml:space="preserve"> </w:t>
      </w:r>
      <w:r w:rsidR="007C02EA">
        <w:rPr>
          <w:rFonts w:ascii="FrankRuehl" w:hAnsi="FrankRuehl" w:cs="FrankRuehl" w:hint="cs"/>
          <w:color w:val="000000"/>
          <w:sz w:val="26"/>
          <w:szCs w:val="26"/>
          <w:rtl/>
        </w:rPr>
        <w:t xml:space="preserve">לעיצומה של טענה - </w:t>
      </w:r>
      <w:r w:rsidR="00247470" w:rsidRPr="0083364A">
        <w:rPr>
          <w:rFonts w:ascii="FrankRuehl" w:hAnsi="FrankRuehl" w:cs="FrankRuehl" w:hint="cs"/>
          <w:color w:val="000000"/>
          <w:sz w:val="26"/>
          <w:szCs w:val="26"/>
          <w:rtl/>
        </w:rPr>
        <w:t xml:space="preserve">הלכה פסוקה היא, </w:t>
      </w:r>
      <w:r w:rsidR="008A4085" w:rsidRPr="0083364A">
        <w:rPr>
          <w:rFonts w:ascii="FrankRuehl" w:hAnsi="FrankRuehl" w:cs="FrankRuehl" w:hint="cs"/>
          <w:color w:val="000000"/>
          <w:sz w:val="26"/>
          <w:szCs w:val="26"/>
          <w:rtl/>
        </w:rPr>
        <w:t xml:space="preserve">שתוקפו של </w:t>
      </w:r>
      <w:r w:rsidR="00247470" w:rsidRPr="0083364A">
        <w:rPr>
          <w:rFonts w:ascii="FrankRuehl" w:hAnsi="FrankRuehl" w:cs="FrankRuehl" w:hint="cs"/>
          <w:color w:val="000000"/>
          <w:sz w:val="26"/>
          <w:szCs w:val="26"/>
          <w:rtl/>
        </w:rPr>
        <w:t>הסכם רכושי, ואפילו לפי מהותו הוא "</w:t>
      </w:r>
      <w:r w:rsidR="008A4085" w:rsidRPr="0083364A">
        <w:rPr>
          <w:rFonts w:ascii="FrankRuehl" w:hAnsi="FrankRuehl" w:cs="FrankRuehl" w:hint="cs"/>
          <w:color w:val="000000"/>
          <w:sz w:val="26"/>
          <w:szCs w:val="26"/>
          <w:rtl/>
        </w:rPr>
        <w:t>הסכם</w:t>
      </w:r>
      <w:r w:rsidR="00247470" w:rsidRPr="0083364A">
        <w:rPr>
          <w:rFonts w:ascii="FrankRuehl" w:hAnsi="FrankRuehl" w:cs="FrankRuehl" w:hint="cs"/>
          <w:color w:val="000000"/>
          <w:sz w:val="26"/>
          <w:szCs w:val="26"/>
          <w:rtl/>
        </w:rPr>
        <w:t xml:space="preserve"> ממון"</w:t>
      </w:r>
      <w:r w:rsidR="0074789B" w:rsidRPr="0083364A">
        <w:rPr>
          <w:rFonts w:ascii="FrankRuehl" w:hAnsi="FrankRuehl" w:cs="FrankRuehl" w:hint="cs"/>
          <w:color w:val="000000"/>
          <w:sz w:val="26"/>
          <w:szCs w:val="26"/>
          <w:rtl/>
        </w:rPr>
        <w:t xml:space="preserve">, </w:t>
      </w:r>
      <w:r w:rsidR="008A4085" w:rsidRPr="0083364A">
        <w:rPr>
          <w:rFonts w:ascii="FrankRuehl" w:hAnsi="FrankRuehl" w:cs="FrankRuehl" w:hint="cs"/>
          <w:color w:val="000000"/>
          <w:sz w:val="26"/>
          <w:szCs w:val="26"/>
          <w:rtl/>
        </w:rPr>
        <w:t>לא מותנית באישור כלשהו</w:t>
      </w:r>
      <w:r w:rsidR="007C02EA">
        <w:rPr>
          <w:rFonts w:ascii="FrankRuehl" w:hAnsi="FrankRuehl" w:cs="FrankRuehl" w:hint="cs"/>
          <w:color w:val="000000"/>
          <w:sz w:val="26"/>
          <w:szCs w:val="26"/>
          <w:rtl/>
        </w:rPr>
        <w:t>,</w:t>
      </w:r>
      <w:r w:rsidR="0074789B" w:rsidRPr="0083364A">
        <w:rPr>
          <w:rFonts w:ascii="FrankRuehl" w:hAnsi="FrankRuehl" w:cs="FrankRuehl" w:hint="cs"/>
          <w:color w:val="000000"/>
          <w:sz w:val="26"/>
          <w:szCs w:val="26"/>
          <w:rtl/>
        </w:rPr>
        <w:t xml:space="preserve"> כאשר בני הזוג אינם נשואים </w:t>
      </w:r>
      <w:r w:rsidR="007C02EA">
        <w:rPr>
          <w:rFonts w:ascii="FrankRuehl" w:hAnsi="FrankRuehl" w:cs="FrankRuehl" w:hint="cs"/>
          <w:color w:val="000000"/>
          <w:sz w:val="26"/>
          <w:szCs w:val="26"/>
          <w:rtl/>
        </w:rPr>
        <w:t xml:space="preserve">ולא </w:t>
      </w:r>
      <w:r w:rsidR="0074789B" w:rsidRPr="0083364A">
        <w:rPr>
          <w:rFonts w:ascii="FrankRuehl" w:hAnsi="FrankRuehl" w:cs="FrankRuehl" w:hint="cs"/>
          <w:color w:val="000000"/>
          <w:sz w:val="26"/>
          <w:szCs w:val="26"/>
          <w:rtl/>
        </w:rPr>
        <w:t>עומדים להינשא</w:t>
      </w:r>
      <w:r w:rsidR="00C53030" w:rsidRPr="0083364A">
        <w:rPr>
          <w:rFonts w:ascii="FrankRuehl" w:hAnsi="FrankRuehl" w:cs="FrankRuehl" w:hint="cs"/>
          <w:color w:val="000000"/>
          <w:sz w:val="26"/>
          <w:szCs w:val="26"/>
          <w:rtl/>
        </w:rPr>
        <w:t xml:space="preserve"> (</w:t>
      </w:r>
      <w:r w:rsidR="00C53030" w:rsidRPr="0083364A">
        <w:rPr>
          <w:rFonts w:ascii="FrankRuehl" w:hAnsi="FrankRuehl" w:cs="FrankRuehl"/>
          <w:color w:val="000000"/>
          <w:sz w:val="26"/>
          <w:szCs w:val="26"/>
          <w:rtl/>
        </w:rPr>
        <w:t xml:space="preserve">רע"א 6854/00 </w:t>
      </w:r>
      <w:r w:rsidR="00C53030" w:rsidRPr="0083364A">
        <w:rPr>
          <w:rFonts w:ascii="FrankRuehl" w:hAnsi="FrankRuehl" w:cs="FrankRuehl"/>
          <w:b/>
          <w:bCs/>
          <w:color w:val="000000"/>
          <w:sz w:val="26"/>
          <w:szCs w:val="26"/>
          <w:rtl/>
        </w:rPr>
        <w:t>היועץ המשפטי לממשלה נ' מיכאל זמר</w:t>
      </w:r>
      <w:r w:rsidR="00C53030" w:rsidRPr="0083364A">
        <w:rPr>
          <w:rFonts w:ascii="FrankRuehl" w:hAnsi="FrankRuehl" w:cs="FrankRuehl"/>
          <w:color w:val="000000"/>
          <w:sz w:val="26"/>
          <w:szCs w:val="26"/>
          <w:rtl/>
        </w:rPr>
        <w:t xml:space="preserve">, </w:t>
      </w:r>
      <w:r w:rsidR="00C53030" w:rsidRPr="0083364A">
        <w:rPr>
          <w:rFonts w:ascii="FrankRuehl" w:hAnsi="FrankRuehl" w:cs="FrankRuehl" w:hint="cs"/>
          <w:color w:val="000000"/>
          <w:sz w:val="26"/>
          <w:szCs w:val="26"/>
          <w:rtl/>
        </w:rPr>
        <w:t xml:space="preserve">פ"ד </w:t>
      </w:r>
      <w:r w:rsidR="00C53030" w:rsidRPr="0083364A">
        <w:rPr>
          <w:rFonts w:ascii="FrankRuehl" w:hAnsi="FrankRuehl" w:cs="FrankRuehl"/>
          <w:color w:val="000000"/>
          <w:sz w:val="26"/>
          <w:szCs w:val="26"/>
          <w:rtl/>
        </w:rPr>
        <w:t>נז(5) 491</w:t>
      </w:r>
      <w:r w:rsidR="00C53030" w:rsidRPr="0083364A">
        <w:rPr>
          <w:rFonts w:ascii="FrankRuehl" w:hAnsi="FrankRuehl" w:cs="FrankRuehl" w:hint="cs"/>
          <w:color w:val="000000"/>
          <w:sz w:val="26"/>
          <w:szCs w:val="26"/>
          <w:rtl/>
        </w:rPr>
        <w:t xml:space="preserve">, 498 </w:t>
      </w:r>
      <w:r w:rsidR="00C53030" w:rsidRPr="0083364A">
        <w:rPr>
          <w:rFonts w:ascii="FrankRuehl" w:hAnsi="FrankRuehl" w:cs="FrankRuehl"/>
          <w:color w:val="000000"/>
          <w:sz w:val="26"/>
          <w:szCs w:val="26"/>
        </w:rPr>
        <w:t xml:space="preserve"> (2003)</w:t>
      </w:r>
      <w:r w:rsidR="00C53030" w:rsidRPr="0083364A">
        <w:rPr>
          <w:rFonts w:ascii="FrankRuehl" w:hAnsi="FrankRuehl" w:cs="FrankRuehl" w:hint="cs"/>
          <w:color w:val="000000"/>
          <w:sz w:val="26"/>
          <w:szCs w:val="26"/>
          <w:rtl/>
        </w:rPr>
        <w:t xml:space="preserve">). </w:t>
      </w:r>
      <w:r w:rsidR="0074789B" w:rsidRPr="0083364A">
        <w:rPr>
          <w:rFonts w:ascii="FrankRuehl" w:hAnsi="FrankRuehl" w:cs="FrankRuehl" w:hint="cs"/>
          <w:color w:val="000000"/>
          <w:sz w:val="26"/>
          <w:szCs w:val="26"/>
          <w:rtl/>
        </w:rPr>
        <w:t xml:space="preserve">בה במידה, </w:t>
      </w:r>
      <w:r w:rsidR="00C53030" w:rsidRPr="0083364A">
        <w:rPr>
          <w:rFonts w:ascii="FrankRuehl" w:hAnsi="FrankRuehl" w:cs="FrankRuehl" w:hint="cs"/>
          <w:color w:val="000000"/>
          <w:sz w:val="26"/>
          <w:szCs w:val="26"/>
          <w:rtl/>
        </w:rPr>
        <w:t>ההלכה המנחה היא, שהסכם</w:t>
      </w:r>
      <w:r w:rsidR="00247470" w:rsidRPr="0083364A">
        <w:rPr>
          <w:rFonts w:ascii="FrankRuehl" w:hAnsi="FrankRuehl" w:cs="FrankRuehl" w:hint="cs"/>
          <w:color w:val="000000"/>
          <w:sz w:val="26"/>
          <w:szCs w:val="26"/>
          <w:rtl/>
        </w:rPr>
        <w:t xml:space="preserve"> ממון </w:t>
      </w:r>
      <w:r w:rsidR="0074789B" w:rsidRPr="0083364A">
        <w:rPr>
          <w:rFonts w:ascii="FrankRuehl" w:hAnsi="FrankRuehl" w:cs="FrankRuehl" w:hint="cs"/>
          <w:color w:val="000000"/>
          <w:sz w:val="26"/>
          <w:szCs w:val="26"/>
          <w:rtl/>
        </w:rPr>
        <w:t>כאמור פוקע</w:t>
      </w:r>
      <w:r w:rsidR="00144A9B">
        <w:rPr>
          <w:rFonts w:ascii="FrankRuehl" w:hAnsi="FrankRuehl" w:cs="FrankRuehl" w:hint="cs"/>
          <w:color w:val="000000"/>
          <w:sz w:val="26"/>
          <w:szCs w:val="26"/>
          <w:rtl/>
        </w:rPr>
        <w:t>,</w:t>
      </w:r>
      <w:r w:rsidR="0074789B" w:rsidRPr="0083364A">
        <w:rPr>
          <w:rFonts w:ascii="FrankRuehl" w:hAnsi="FrankRuehl" w:cs="FrankRuehl" w:hint="cs"/>
          <w:color w:val="000000"/>
          <w:sz w:val="26"/>
          <w:szCs w:val="26"/>
          <w:rtl/>
        </w:rPr>
        <w:t xml:space="preserve"> עם </w:t>
      </w:r>
      <w:r w:rsidR="00C53030" w:rsidRPr="0083364A">
        <w:rPr>
          <w:rFonts w:ascii="FrankRuehl" w:hAnsi="FrankRuehl" w:cs="FrankRuehl" w:hint="cs"/>
          <w:color w:val="000000"/>
          <w:sz w:val="26"/>
          <w:szCs w:val="26"/>
          <w:rtl/>
        </w:rPr>
        <w:t xml:space="preserve">נישואי הצדדים, </w:t>
      </w:r>
      <w:r w:rsidR="0074789B" w:rsidRPr="0083364A">
        <w:rPr>
          <w:rFonts w:ascii="FrankRuehl" w:hAnsi="FrankRuehl" w:cs="FrankRuehl" w:hint="cs"/>
          <w:color w:val="000000"/>
          <w:sz w:val="26"/>
          <w:szCs w:val="26"/>
          <w:rtl/>
        </w:rPr>
        <w:t xml:space="preserve">ככל שלא אושר לפי </w:t>
      </w:r>
      <w:r w:rsidR="00072162" w:rsidRPr="0083364A">
        <w:rPr>
          <w:rFonts w:ascii="FrankRuehl" w:hAnsi="FrankRuehl" w:cs="FrankRuehl" w:hint="cs"/>
          <w:color w:val="000000"/>
          <w:sz w:val="26"/>
          <w:szCs w:val="26"/>
          <w:rtl/>
        </w:rPr>
        <w:t>סעיף 2(א) ל</w:t>
      </w:r>
      <w:r w:rsidR="0074789B" w:rsidRPr="0083364A">
        <w:rPr>
          <w:rFonts w:ascii="FrankRuehl" w:hAnsi="FrankRuehl" w:cs="FrankRuehl" w:hint="cs"/>
          <w:color w:val="000000"/>
          <w:sz w:val="26"/>
          <w:szCs w:val="26"/>
          <w:rtl/>
        </w:rPr>
        <w:t>חוק יחסי ממון</w:t>
      </w:r>
      <w:r w:rsidR="00C53030" w:rsidRPr="0083364A">
        <w:rPr>
          <w:rFonts w:ascii="FrankRuehl" w:hAnsi="FrankRuehl" w:cs="FrankRuehl" w:hint="cs"/>
          <w:color w:val="000000"/>
          <w:sz w:val="26"/>
          <w:szCs w:val="26"/>
          <w:rtl/>
        </w:rPr>
        <w:t xml:space="preserve"> (</w:t>
      </w:r>
      <w:r w:rsidR="00B4358C" w:rsidRPr="0083364A">
        <w:rPr>
          <w:rFonts w:ascii="FrankRuehl" w:hAnsi="FrankRuehl" w:cs="FrankRuehl"/>
          <w:color w:val="000000"/>
          <w:sz w:val="26"/>
          <w:szCs w:val="26"/>
          <w:rtl/>
        </w:rPr>
        <w:t xml:space="preserve">עמ"ש (מחוזי תל אביב-יפו) 17125-03-19 </w:t>
      </w:r>
      <w:r w:rsidR="00B4358C" w:rsidRPr="00D37CFD">
        <w:rPr>
          <w:rFonts w:ascii="FrankRuehl" w:hAnsi="FrankRuehl" w:cs="FrankRuehl"/>
          <w:b/>
          <w:bCs/>
          <w:color w:val="000000"/>
          <w:sz w:val="26"/>
          <w:szCs w:val="26"/>
          <w:rtl/>
        </w:rPr>
        <w:t>נ' ל' נ' ס' ר'</w:t>
      </w:r>
      <w:r w:rsidR="00B4358C" w:rsidRPr="0083364A">
        <w:rPr>
          <w:rFonts w:ascii="FrankRuehl" w:hAnsi="FrankRuehl" w:cs="FrankRuehl"/>
          <w:color w:val="000000"/>
          <w:sz w:val="26"/>
          <w:szCs w:val="26"/>
          <w:rtl/>
        </w:rPr>
        <w:t xml:space="preserve"> (31.10.2019)</w:t>
      </w:r>
      <w:r w:rsidR="00247470" w:rsidRPr="0083364A">
        <w:rPr>
          <w:rFonts w:ascii="FrankRuehl" w:hAnsi="FrankRuehl" w:cs="FrankRuehl" w:hint="cs"/>
          <w:color w:val="000000"/>
          <w:sz w:val="26"/>
          <w:szCs w:val="26"/>
          <w:rtl/>
        </w:rPr>
        <w:t xml:space="preserve">, </w:t>
      </w:r>
      <w:r w:rsidR="00247470" w:rsidRPr="0083364A">
        <w:rPr>
          <w:rFonts w:ascii="FrankRuehl" w:hAnsi="FrankRuehl" w:cs="FrankRuehl"/>
          <w:color w:val="000000"/>
          <w:sz w:val="26"/>
          <w:szCs w:val="26"/>
          <w:rtl/>
        </w:rPr>
        <w:t xml:space="preserve">עמ"ש (מחוזי ירושלים) 26693-04-13 </w:t>
      </w:r>
      <w:r w:rsidR="00247470" w:rsidRPr="0083364A">
        <w:rPr>
          <w:rFonts w:ascii="FrankRuehl" w:hAnsi="FrankRuehl" w:cs="FrankRuehl"/>
          <w:b/>
          <w:bCs/>
          <w:color w:val="000000"/>
          <w:sz w:val="26"/>
          <w:szCs w:val="26"/>
          <w:rtl/>
        </w:rPr>
        <w:t>פלונית נ' פלוני</w:t>
      </w:r>
      <w:r w:rsidR="00247470" w:rsidRPr="0083364A">
        <w:rPr>
          <w:rFonts w:ascii="FrankRuehl" w:hAnsi="FrankRuehl" w:cs="FrankRuehl"/>
          <w:color w:val="000000"/>
          <w:sz w:val="26"/>
          <w:szCs w:val="26"/>
          <w:rtl/>
        </w:rPr>
        <w:t xml:space="preserve"> (14.11.2013)</w:t>
      </w:r>
      <w:r w:rsidR="00C53030" w:rsidRPr="0083364A">
        <w:rPr>
          <w:rFonts w:ascii="FrankRuehl" w:hAnsi="FrankRuehl" w:cs="FrankRuehl" w:hint="cs"/>
          <w:color w:val="000000"/>
          <w:sz w:val="26"/>
          <w:szCs w:val="26"/>
          <w:rtl/>
        </w:rPr>
        <w:t xml:space="preserve"> ).</w:t>
      </w:r>
      <w:r w:rsidR="0083364A">
        <w:rPr>
          <w:rFonts w:ascii="FrankRuehl" w:hAnsi="FrankRuehl" w:cs="FrankRuehl" w:hint="cs"/>
          <w:color w:val="000000"/>
          <w:sz w:val="26"/>
          <w:szCs w:val="26"/>
          <w:rtl/>
        </w:rPr>
        <w:t xml:space="preserve"> לפיכך, ההסכם תקף עד למועד נישואין הצדדים, וחסר תוקף ממועד זה ואילך</w:t>
      </w:r>
      <w:r w:rsidR="00D37CFD">
        <w:rPr>
          <w:rFonts w:ascii="FrankRuehl" w:hAnsi="FrankRuehl" w:cs="FrankRuehl" w:hint="cs"/>
          <w:color w:val="000000"/>
          <w:sz w:val="26"/>
          <w:szCs w:val="26"/>
          <w:rtl/>
        </w:rPr>
        <w:t>. אציין, ש</w:t>
      </w:r>
      <w:r w:rsidR="0083364A">
        <w:rPr>
          <w:rFonts w:ascii="FrankRuehl" w:hAnsi="FrankRuehl" w:cs="FrankRuehl" w:hint="cs"/>
          <w:color w:val="000000"/>
          <w:sz w:val="26"/>
          <w:szCs w:val="26"/>
          <w:rtl/>
        </w:rPr>
        <w:t>הנתבעת לא טענה, לפקיעה רטרואקטיבית, כפי שהוכרע בעמ"ש 26693-04-13</w:t>
      </w:r>
      <w:r w:rsidR="0090237F">
        <w:rPr>
          <w:rFonts w:ascii="FrankRuehl" w:hAnsi="FrankRuehl" w:cs="FrankRuehl" w:hint="cs"/>
          <w:color w:val="000000"/>
          <w:sz w:val="26"/>
          <w:szCs w:val="26"/>
          <w:rtl/>
        </w:rPr>
        <w:t xml:space="preserve">. </w:t>
      </w:r>
      <w:r w:rsidR="00D37CFD">
        <w:rPr>
          <w:rFonts w:ascii="FrankRuehl" w:hAnsi="FrankRuehl" w:cs="FrankRuehl" w:hint="cs"/>
          <w:color w:val="000000"/>
          <w:sz w:val="26"/>
          <w:szCs w:val="26"/>
          <w:rtl/>
        </w:rPr>
        <w:t>מכל מקום, ו</w:t>
      </w:r>
      <w:r w:rsidR="0090237F">
        <w:rPr>
          <w:rFonts w:ascii="FrankRuehl" w:hAnsi="FrankRuehl" w:cs="FrankRuehl" w:hint="cs"/>
          <w:color w:val="000000"/>
          <w:sz w:val="26"/>
          <w:szCs w:val="26"/>
          <w:rtl/>
        </w:rPr>
        <w:t xml:space="preserve">בכל הצניעות, אני שותף להסתייגותו של </w:t>
      </w:r>
      <w:r w:rsidR="00D37CFD">
        <w:rPr>
          <w:rFonts w:ascii="FrankRuehl" w:hAnsi="FrankRuehl" w:cs="FrankRuehl" w:hint="cs"/>
          <w:color w:val="000000"/>
          <w:sz w:val="26"/>
          <w:szCs w:val="26"/>
          <w:rtl/>
        </w:rPr>
        <w:t>כב' השו' שוחט</w:t>
      </w:r>
      <w:r w:rsidR="007C02EA">
        <w:rPr>
          <w:rFonts w:ascii="FrankRuehl" w:hAnsi="FrankRuehl" w:cs="FrankRuehl" w:hint="cs"/>
          <w:color w:val="000000"/>
          <w:sz w:val="26"/>
          <w:szCs w:val="26"/>
          <w:rtl/>
        </w:rPr>
        <w:t xml:space="preserve"> בנושא</w:t>
      </w:r>
      <w:r w:rsidR="00D37CFD">
        <w:rPr>
          <w:rFonts w:ascii="FrankRuehl" w:hAnsi="FrankRuehl" w:cs="FrankRuehl" w:hint="cs"/>
          <w:color w:val="000000"/>
          <w:sz w:val="26"/>
          <w:szCs w:val="26"/>
          <w:rtl/>
        </w:rPr>
        <w:t xml:space="preserve"> (</w:t>
      </w:r>
      <w:r w:rsidR="0090237F">
        <w:rPr>
          <w:rFonts w:ascii="FrankRuehl" w:hAnsi="FrankRuehl" w:cs="FrankRuehl" w:hint="cs"/>
          <w:color w:val="000000"/>
          <w:sz w:val="26"/>
          <w:szCs w:val="26"/>
          <w:rtl/>
        </w:rPr>
        <w:t>סעיף 16סיפא לפסק דינו בעמ"ש 17125-03-19).</w:t>
      </w:r>
    </w:p>
    <w:p w:rsidR="004916DC" w:rsidRDefault="00BE19F4" w:rsidP="00430FF7">
      <w:pPr>
        <w:pStyle w:val="ad"/>
        <w:numPr>
          <w:ilvl w:val="0"/>
          <w:numId w:val="1"/>
        </w:numPr>
        <w:spacing w:after="240" w:line="360" w:lineRule="auto"/>
        <w:contextualSpacing w:val="0"/>
        <w:jc w:val="both"/>
        <w:rPr>
          <w:rFonts w:ascii="FrankRuehl" w:hAnsi="FrankRuehl" w:cs="FrankRuehl"/>
          <w:color w:val="000000"/>
          <w:sz w:val="26"/>
          <w:szCs w:val="26"/>
        </w:rPr>
      </w:pPr>
      <w:r w:rsidRPr="00A9534B">
        <w:rPr>
          <w:rFonts w:ascii="FrankRuehl" w:hAnsi="FrankRuehl" w:cs="FrankRuehl" w:hint="cs"/>
          <w:color w:val="000000"/>
          <w:sz w:val="26"/>
          <w:szCs w:val="26"/>
          <w:rtl/>
        </w:rPr>
        <w:t xml:space="preserve">התובע טען, שההסכם תקף מכוח סעיף </w:t>
      </w:r>
      <w:r w:rsidR="00816269" w:rsidRPr="00A9534B">
        <w:rPr>
          <w:rFonts w:ascii="FrankRuehl" w:hAnsi="FrankRuehl" w:cs="FrankRuehl" w:hint="cs"/>
          <w:color w:val="000000"/>
          <w:sz w:val="26"/>
          <w:szCs w:val="26"/>
          <w:rtl/>
        </w:rPr>
        <w:t xml:space="preserve">5(א)(3) לחוק יחסי ממון, </w:t>
      </w:r>
      <w:r w:rsidR="00430FF7">
        <w:rPr>
          <w:rFonts w:ascii="FrankRuehl" w:hAnsi="FrankRuehl" w:cs="FrankRuehl" w:hint="cs"/>
          <w:color w:val="000000"/>
          <w:sz w:val="26"/>
          <w:szCs w:val="26"/>
          <w:rtl/>
        </w:rPr>
        <w:t xml:space="preserve">המחריג מממסת הנכסים בני האיזון </w:t>
      </w:r>
      <w:r w:rsidR="00816269" w:rsidRPr="00A9534B">
        <w:rPr>
          <w:rFonts w:ascii="Aharoni" w:hAnsi="Aharoni" w:cs="Aharoni"/>
          <w:color w:val="000000"/>
          <w:sz w:val="26"/>
          <w:szCs w:val="26"/>
          <w:rtl/>
        </w:rPr>
        <w:t>נכסים שבני הזוג הסכימו בכתב ששוויים לא יאוזן ביניהם</w:t>
      </w:r>
      <w:r w:rsidR="00816269" w:rsidRPr="00A9534B">
        <w:rPr>
          <w:rFonts w:ascii="Aharoni" w:hAnsi="Aharoni" w:cs="Aharoni" w:hint="cs"/>
          <w:color w:val="000000"/>
          <w:sz w:val="26"/>
          <w:szCs w:val="26"/>
          <w:rtl/>
        </w:rPr>
        <w:t xml:space="preserve">. </w:t>
      </w:r>
      <w:r w:rsidR="00A9534B" w:rsidRPr="00A9534B">
        <w:rPr>
          <w:rFonts w:ascii="FrankRuehl" w:hAnsi="FrankRuehl" w:cs="FrankRuehl" w:hint="cs"/>
          <w:color w:val="000000"/>
          <w:sz w:val="26"/>
          <w:szCs w:val="26"/>
          <w:rtl/>
        </w:rPr>
        <w:t>טיעון זה סותר טענה אחרת של התובע, לפיה ההסכם הוא הסכם ממון. יתירה מזו, מדובר</w:t>
      </w:r>
      <w:r w:rsidR="00816269" w:rsidRPr="00A9534B">
        <w:rPr>
          <w:rFonts w:ascii="FrankRuehl" w:hAnsi="FrankRuehl" w:cs="FrankRuehl" w:hint="cs"/>
          <w:color w:val="000000"/>
          <w:sz w:val="26"/>
          <w:szCs w:val="26"/>
          <w:rtl/>
        </w:rPr>
        <w:t xml:space="preserve"> </w:t>
      </w:r>
      <w:r w:rsidR="00A9534B" w:rsidRPr="00A9534B">
        <w:rPr>
          <w:rFonts w:ascii="FrankRuehl" w:hAnsi="FrankRuehl" w:cs="FrankRuehl" w:hint="cs"/>
          <w:color w:val="000000"/>
          <w:sz w:val="26"/>
          <w:szCs w:val="26"/>
          <w:rtl/>
        </w:rPr>
        <w:t>ב</w:t>
      </w:r>
      <w:r w:rsidR="00816269" w:rsidRPr="00A9534B">
        <w:rPr>
          <w:rFonts w:ascii="FrankRuehl" w:hAnsi="FrankRuehl" w:cs="FrankRuehl" w:hint="cs"/>
          <w:color w:val="000000"/>
          <w:sz w:val="26"/>
          <w:szCs w:val="26"/>
          <w:rtl/>
        </w:rPr>
        <w:t xml:space="preserve">הסכם רכושי כולל ומקיף, </w:t>
      </w:r>
      <w:r w:rsidR="00A9534B" w:rsidRPr="00A9534B">
        <w:rPr>
          <w:rFonts w:ascii="FrankRuehl" w:hAnsi="FrankRuehl" w:cs="FrankRuehl" w:hint="cs"/>
          <w:color w:val="000000"/>
          <w:sz w:val="26"/>
          <w:szCs w:val="26"/>
          <w:rtl/>
        </w:rPr>
        <w:t>הצופה פני פרידה</w:t>
      </w:r>
      <w:r w:rsidR="00430FF7">
        <w:rPr>
          <w:rFonts w:ascii="FrankRuehl" w:hAnsi="FrankRuehl" w:cs="FrankRuehl" w:hint="cs"/>
          <w:color w:val="000000"/>
          <w:sz w:val="26"/>
          <w:szCs w:val="26"/>
          <w:rtl/>
        </w:rPr>
        <w:t xml:space="preserve">. </w:t>
      </w:r>
      <w:r w:rsidR="00A9534B" w:rsidRPr="00A9534B">
        <w:rPr>
          <w:rFonts w:ascii="FrankRuehl" w:hAnsi="FrankRuehl" w:cs="FrankRuehl" w:hint="cs"/>
          <w:color w:val="000000"/>
          <w:sz w:val="26"/>
          <w:szCs w:val="26"/>
          <w:rtl/>
        </w:rPr>
        <w:t>לכן</w:t>
      </w:r>
      <w:r w:rsidR="00430FF7">
        <w:rPr>
          <w:rFonts w:ascii="FrankRuehl" w:hAnsi="FrankRuehl" w:cs="FrankRuehl" w:hint="cs"/>
          <w:color w:val="000000"/>
          <w:sz w:val="26"/>
          <w:szCs w:val="26"/>
          <w:rtl/>
        </w:rPr>
        <w:t xml:space="preserve"> ההסכם</w:t>
      </w:r>
      <w:r w:rsidR="00A9534B" w:rsidRPr="00A9534B">
        <w:rPr>
          <w:rFonts w:ascii="FrankRuehl" w:hAnsi="FrankRuehl" w:cs="FrankRuehl" w:hint="cs"/>
          <w:color w:val="000000"/>
          <w:sz w:val="26"/>
          <w:szCs w:val="26"/>
          <w:rtl/>
        </w:rPr>
        <w:t xml:space="preserve"> לא בא בגידרו של סעיף 5(א)(3) </w:t>
      </w:r>
      <w:r w:rsidR="00430FF7">
        <w:rPr>
          <w:rFonts w:ascii="FrankRuehl" w:hAnsi="FrankRuehl" w:cs="FrankRuehl" w:hint="cs"/>
          <w:color w:val="000000"/>
          <w:sz w:val="26"/>
          <w:szCs w:val="26"/>
          <w:rtl/>
        </w:rPr>
        <w:t>לחוק יסחי ממון</w:t>
      </w:r>
      <w:r w:rsidR="00EC602D">
        <w:rPr>
          <w:rFonts w:ascii="FrankRuehl" w:hAnsi="FrankRuehl" w:cs="FrankRuehl" w:hint="cs"/>
          <w:color w:val="000000"/>
          <w:sz w:val="26"/>
          <w:szCs w:val="26"/>
          <w:rtl/>
        </w:rPr>
        <w:t>, הדן בהסכמה ספציפית</w:t>
      </w:r>
      <w:r w:rsidR="00A9534B" w:rsidRPr="00A9534B">
        <w:rPr>
          <w:rFonts w:ascii="FrankRuehl" w:hAnsi="FrankRuehl" w:cs="FrankRuehl" w:hint="cs"/>
          <w:color w:val="000000"/>
          <w:sz w:val="26"/>
          <w:szCs w:val="26"/>
          <w:rtl/>
        </w:rPr>
        <w:t xml:space="preserve"> (ר' פסק דינה של כב' השו' ברק-ארז ב</w:t>
      </w:r>
      <w:r w:rsidR="00F308DC" w:rsidRPr="00A9534B">
        <w:rPr>
          <w:rFonts w:ascii="FrankRuehl" w:hAnsi="FrankRuehl" w:cs="FrankRuehl"/>
          <w:color w:val="000000"/>
          <w:sz w:val="26"/>
          <w:szCs w:val="26"/>
          <w:rtl/>
        </w:rPr>
        <w:t xml:space="preserve">ע"א 1629/11 </w:t>
      </w:r>
      <w:r w:rsidR="00F308DC" w:rsidRPr="00A9534B">
        <w:rPr>
          <w:rFonts w:ascii="FrankRuehl" w:hAnsi="FrankRuehl" w:cs="FrankRuehl"/>
          <w:b/>
          <w:bCs/>
          <w:color w:val="000000"/>
          <w:sz w:val="26"/>
          <w:szCs w:val="26"/>
          <w:rtl/>
        </w:rPr>
        <w:t>מאיר יצחקי נ' סמדר וכטר</w:t>
      </w:r>
      <w:r w:rsidR="00F308DC" w:rsidRPr="00A9534B">
        <w:rPr>
          <w:rFonts w:ascii="FrankRuehl" w:hAnsi="FrankRuehl" w:cs="FrankRuehl"/>
          <w:color w:val="000000"/>
          <w:sz w:val="26"/>
          <w:szCs w:val="26"/>
          <w:rtl/>
        </w:rPr>
        <w:t xml:space="preserve"> (04.11.2012</w:t>
      </w:r>
      <w:r w:rsidR="00A9534B">
        <w:rPr>
          <w:rFonts w:ascii="FrankRuehl" w:hAnsi="FrankRuehl" w:cs="FrankRuehl" w:hint="cs"/>
          <w:color w:val="000000"/>
          <w:sz w:val="26"/>
          <w:szCs w:val="26"/>
          <w:rtl/>
        </w:rPr>
        <w:t xml:space="preserve">), וכן עמ"ש 26693-04-13 הנ"ל). </w:t>
      </w:r>
      <w:r w:rsidR="001C58C1">
        <w:rPr>
          <w:rFonts w:ascii="FrankRuehl" w:hAnsi="FrankRuehl" w:cs="FrankRuehl" w:hint="cs"/>
          <w:color w:val="000000"/>
          <w:sz w:val="26"/>
          <w:szCs w:val="26"/>
          <w:rtl/>
        </w:rPr>
        <w:t xml:space="preserve">הטענה </w:t>
      </w:r>
      <w:r w:rsidR="00A9534B">
        <w:rPr>
          <w:rFonts w:ascii="FrankRuehl" w:hAnsi="FrankRuehl" w:cs="FrankRuehl" w:hint="cs"/>
          <w:color w:val="000000"/>
          <w:sz w:val="26"/>
          <w:szCs w:val="26"/>
          <w:rtl/>
        </w:rPr>
        <w:t>בדבר היות הצדדים שותפים עיסקיים</w:t>
      </w:r>
      <w:r w:rsidR="001C58C1">
        <w:rPr>
          <w:rFonts w:ascii="FrankRuehl" w:hAnsi="FrankRuehl" w:cs="FrankRuehl" w:hint="cs"/>
          <w:color w:val="000000"/>
          <w:sz w:val="26"/>
          <w:szCs w:val="26"/>
          <w:rtl/>
        </w:rPr>
        <w:t>, לא הופכת את ההסכם, שהינו הסכם ממון, להסכמה</w:t>
      </w:r>
      <w:r w:rsidR="00EC602D">
        <w:rPr>
          <w:rFonts w:ascii="FrankRuehl" w:hAnsi="FrankRuehl" w:cs="FrankRuehl" w:hint="cs"/>
          <w:color w:val="000000"/>
          <w:sz w:val="26"/>
          <w:szCs w:val="26"/>
          <w:rtl/>
        </w:rPr>
        <w:t xml:space="preserve"> ספציפית בדבר שותפות</w:t>
      </w:r>
      <w:r w:rsidR="00A9534B">
        <w:rPr>
          <w:rFonts w:ascii="FrankRuehl" w:hAnsi="FrankRuehl" w:cs="FrankRuehl" w:hint="cs"/>
          <w:color w:val="000000"/>
          <w:sz w:val="26"/>
          <w:szCs w:val="26"/>
          <w:rtl/>
        </w:rPr>
        <w:t xml:space="preserve">. </w:t>
      </w:r>
      <w:r w:rsidR="00A10EE2">
        <w:rPr>
          <w:rFonts w:ascii="FrankRuehl" w:hAnsi="FrankRuehl" w:cs="FrankRuehl" w:hint="cs"/>
          <w:color w:val="000000"/>
          <w:sz w:val="26"/>
          <w:szCs w:val="26"/>
          <w:rtl/>
        </w:rPr>
        <w:t xml:space="preserve">כאשר </w:t>
      </w:r>
      <w:r w:rsidR="00A9534B">
        <w:rPr>
          <w:rFonts w:ascii="FrankRuehl" w:hAnsi="FrankRuehl" w:cs="FrankRuehl" w:hint="cs"/>
          <w:color w:val="000000"/>
          <w:sz w:val="26"/>
          <w:szCs w:val="26"/>
          <w:rtl/>
        </w:rPr>
        <w:t xml:space="preserve">בני זוג </w:t>
      </w:r>
      <w:r w:rsidR="00A10EE2">
        <w:rPr>
          <w:rFonts w:ascii="FrankRuehl" w:hAnsi="FrankRuehl" w:cs="FrankRuehl" w:hint="cs"/>
          <w:color w:val="000000"/>
          <w:sz w:val="26"/>
          <w:szCs w:val="26"/>
          <w:rtl/>
        </w:rPr>
        <w:t xml:space="preserve">מסדירים </w:t>
      </w:r>
      <w:r w:rsidR="00A9534B">
        <w:rPr>
          <w:rFonts w:ascii="FrankRuehl" w:hAnsi="FrankRuehl" w:cs="FrankRuehl" w:hint="cs"/>
          <w:color w:val="000000"/>
          <w:sz w:val="26"/>
          <w:szCs w:val="26"/>
          <w:rtl/>
        </w:rPr>
        <w:t>שותפות</w:t>
      </w:r>
      <w:r w:rsidR="00A10EE2">
        <w:rPr>
          <w:rFonts w:ascii="FrankRuehl" w:hAnsi="FrankRuehl" w:cs="FrankRuehl" w:hint="cs"/>
          <w:color w:val="000000"/>
          <w:sz w:val="26"/>
          <w:szCs w:val="26"/>
          <w:rtl/>
        </w:rPr>
        <w:t xml:space="preserve"> עיסקית ביניהם</w:t>
      </w:r>
      <w:r w:rsidR="001C58C1">
        <w:rPr>
          <w:rFonts w:ascii="FrankRuehl" w:hAnsi="FrankRuehl" w:cs="FrankRuehl" w:hint="cs"/>
          <w:color w:val="000000"/>
          <w:sz w:val="26"/>
          <w:szCs w:val="26"/>
          <w:rtl/>
        </w:rPr>
        <w:t>,</w:t>
      </w:r>
      <w:r w:rsidR="00A10EE2">
        <w:rPr>
          <w:rFonts w:ascii="FrankRuehl" w:hAnsi="FrankRuehl" w:cs="FrankRuehl" w:hint="cs"/>
          <w:color w:val="000000"/>
          <w:sz w:val="26"/>
          <w:szCs w:val="26"/>
          <w:rtl/>
        </w:rPr>
        <w:t xml:space="preserve"> במסגרת הסכם ממון, יש לראות את ההסכם מקשה אחת</w:t>
      </w:r>
      <w:r w:rsidR="00A9534B">
        <w:rPr>
          <w:rFonts w:ascii="FrankRuehl" w:hAnsi="FrankRuehl" w:cs="FrankRuehl" w:hint="cs"/>
          <w:color w:val="000000"/>
          <w:sz w:val="26"/>
          <w:szCs w:val="26"/>
          <w:rtl/>
        </w:rPr>
        <w:t>.</w:t>
      </w:r>
      <w:r w:rsidR="00AA0B3B">
        <w:rPr>
          <w:rFonts w:ascii="FrankRuehl" w:hAnsi="FrankRuehl" w:cs="FrankRuehl" w:hint="cs"/>
          <w:color w:val="000000"/>
          <w:sz w:val="26"/>
          <w:szCs w:val="26"/>
          <w:rtl/>
        </w:rPr>
        <w:t xml:space="preserve"> </w:t>
      </w:r>
      <w:r w:rsidR="00A10EE2">
        <w:rPr>
          <w:rFonts w:ascii="FrankRuehl" w:hAnsi="FrankRuehl" w:cs="FrankRuehl" w:hint="cs"/>
          <w:color w:val="000000"/>
          <w:sz w:val="26"/>
          <w:szCs w:val="26"/>
          <w:rtl/>
        </w:rPr>
        <w:t xml:space="preserve">יתירה מזו, ההסכם לא דן בשותפות עיסקית, אלא בחלוקת רכוש באופן כללי. </w:t>
      </w:r>
      <w:r w:rsidR="00AA0B3B">
        <w:rPr>
          <w:rFonts w:ascii="FrankRuehl" w:hAnsi="FrankRuehl" w:cs="FrankRuehl" w:hint="cs"/>
          <w:color w:val="000000"/>
          <w:sz w:val="26"/>
          <w:szCs w:val="26"/>
          <w:rtl/>
        </w:rPr>
        <w:t>מוסיף התובע וטוען, ש</w:t>
      </w:r>
      <w:r w:rsidR="008936BE">
        <w:rPr>
          <w:rFonts w:ascii="FrankRuehl" w:hAnsi="FrankRuehl" w:cs="FrankRuehl" w:hint="cs"/>
          <w:color w:val="000000"/>
          <w:sz w:val="26"/>
          <w:szCs w:val="26"/>
          <w:rtl/>
        </w:rPr>
        <w:t xml:space="preserve">לפי דיני סינגפור </w:t>
      </w:r>
      <w:r w:rsidR="00AA0B3B">
        <w:rPr>
          <w:rFonts w:ascii="FrankRuehl" w:hAnsi="FrankRuehl" w:cs="FrankRuehl" w:hint="cs"/>
          <w:color w:val="000000"/>
          <w:sz w:val="26"/>
          <w:szCs w:val="26"/>
          <w:rtl/>
        </w:rPr>
        <w:t xml:space="preserve">ההסכם תקף </w:t>
      </w:r>
      <w:r w:rsidR="008936BE">
        <w:rPr>
          <w:rFonts w:ascii="FrankRuehl" w:hAnsi="FrankRuehl" w:cs="FrankRuehl" w:hint="cs"/>
          <w:color w:val="000000"/>
          <w:sz w:val="26"/>
          <w:szCs w:val="26"/>
          <w:rtl/>
        </w:rPr>
        <w:t>ללא צורך באישור כלשהו</w:t>
      </w:r>
      <w:r w:rsidR="00AA0B3B">
        <w:rPr>
          <w:rFonts w:ascii="FrankRuehl" w:hAnsi="FrankRuehl" w:cs="FrankRuehl" w:hint="cs"/>
          <w:color w:val="000000"/>
          <w:sz w:val="26"/>
          <w:szCs w:val="26"/>
          <w:rtl/>
        </w:rPr>
        <w:t xml:space="preserve">. טענה זו סותרת את </w:t>
      </w:r>
      <w:r w:rsidR="004916DC">
        <w:rPr>
          <w:rFonts w:ascii="FrankRuehl" w:hAnsi="FrankRuehl" w:cs="FrankRuehl" w:hint="cs"/>
          <w:color w:val="000000"/>
          <w:sz w:val="26"/>
          <w:szCs w:val="26"/>
          <w:rtl/>
        </w:rPr>
        <w:t xml:space="preserve">טענת התובע עצמו, ואת האמור בהסכם, שיש להחיל את הדין הישראלי. </w:t>
      </w:r>
    </w:p>
    <w:p w:rsidR="00233489" w:rsidRDefault="00233489" w:rsidP="00233489">
      <w:pPr>
        <w:spacing w:after="240" w:line="360" w:lineRule="auto"/>
        <w:jc w:val="both"/>
        <w:rPr>
          <w:rFonts w:ascii="FrankRuehl" w:hAnsi="FrankRuehl" w:cs="FrankRuehl"/>
          <w:color w:val="000000"/>
          <w:sz w:val="26"/>
          <w:szCs w:val="26"/>
          <w:rtl/>
        </w:rPr>
      </w:pPr>
    </w:p>
    <w:p w:rsidR="00233489" w:rsidRPr="00233489" w:rsidRDefault="00233489" w:rsidP="00233489">
      <w:pPr>
        <w:spacing w:after="240" w:line="360" w:lineRule="auto"/>
        <w:jc w:val="both"/>
        <w:rPr>
          <w:rFonts w:ascii="FrankRuehl" w:hAnsi="FrankRuehl" w:cs="FrankRuehl"/>
          <w:color w:val="000000"/>
          <w:sz w:val="26"/>
          <w:szCs w:val="26"/>
        </w:rPr>
      </w:pPr>
    </w:p>
    <w:p w:rsidR="00434815" w:rsidRDefault="00CC13FB" w:rsidP="00430FF7">
      <w:pPr>
        <w:pStyle w:val="ad"/>
        <w:numPr>
          <w:ilvl w:val="0"/>
          <w:numId w:val="1"/>
        </w:numPr>
        <w:spacing w:after="240" w:line="360" w:lineRule="auto"/>
        <w:contextualSpacing w:val="0"/>
        <w:jc w:val="both"/>
        <w:rPr>
          <w:rFonts w:ascii="FrankRuehl" w:hAnsi="FrankRuehl" w:cs="FrankRuehl"/>
          <w:color w:val="000000"/>
          <w:sz w:val="26"/>
          <w:szCs w:val="26"/>
        </w:rPr>
      </w:pPr>
      <w:r>
        <w:rPr>
          <w:rFonts w:ascii="FrankRuehl" w:hAnsi="FrankRuehl" w:cs="FrankRuehl" w:hint="cs"/>
          <w:color w:val="000000"/>
          <w:sz w:val="26"/>
          <w:szCs w:val="26"/>
          <w:rtl/>
        </w:rPr>
        <w:lastRenderedPageBreak/>
        <w:t>לנוכח האמור, ההסכם הוא בר אכיפה בכל הנוגע לרכוש</w:t>
      </w:r>
      <w:r w:rsidR="0037126C">
        <w:rPr>
          <w:rFonts w:ascii="FrankRuehl" w:hAnsi="FrankRuehl" w:cs="FrankRuehl" w:hint="cs"/>
          <w:color w:val="000000"/>
          <w:sz w:val="26"/>
          <w:szCs w:val="26"/>
          <w:rtl/>
        </w:rPr>
        <w:t>,</w:t>
      </w:r>
      <w:r>
        <w:rPr>
          <w:rFonts w:ascii="FrankRuehl" w:hAnsi="FrankRuehl" w:cs="FrankRuehl" w:hint="cs"/>
          <w:color w:val="000000"/>
          <w:sz w:val="26"/>
          <w:szCs w:val="26"/>
          <w:rtl/>
        </w:rPr>
        <w:t xml:space="preserve"> שנצבר ממועד חתימתו ועד למועד נישואי הצדדים, ו</w:t>
      </w:r>
      <w:r w:rsidR="00D37CFD">
        <w:rPr>
          <w:rFonts w:ascii="FrankRuehl" w:hAnsi="FrankRuehl" w:cs="FrankRuehl" w:hint="cs"/>
          <w:color w:val="000000"/>
          <w:sz w:val="26"/>
          <w:szCs w:val="26"/>
          <w:rtl/>
        </w:rPr>
        <w:t>אינו בר אכיפה באשר לרכוש</w:t>
      </w:r>
      <w:r w:rsidR="0037126C">
        <w:rPr>
          <w:rFonts w:ascii="FrankRuehl" w:hAnsi="FrankRuehl" w:cs="FrankRuehl" w:hint="cs"/>
          <w:color w:val="000000"/>
          <w:sz w:val="26"/>
          <w:szCs w:val="26"/>
          <w:rtl/>
        </w:rPr>
        <w:t>,</w:t>
      </w:r>
      <w:r w:rsidR="00D37CFD">
        <w:rPr>
          <w:rFonts w:ascii="FrankRuehl" w:hAnsi="FrankRuehl" w:cs="FrankRuehl" w:hint="cs"/>
          <w:color w:val="000000"/>
          <w:sz w:val="26"/>
          <w:szCs w:val="26"/>
          <w:rtl/>
        </w:rPr>
        <w:t xml:space="preserve"> שנצבר </w:t>
      </w:r>
      <w:r>
        <w:rPr>
          <w:rFonts w:ascii="FrankRuehl" w:hAnsi="FrankRuehl" w:cs="FrankRuehl" w:hint="cs"/>
          <w:color w:val="000000"/>
          <w:sz w:val="26"/>
          <w:szCs w:val="26"/>
          <w:rtl/>
        </w:rPr>
        <w:t>ממועד זה ואילך. ממילא תניית השיפוט הייחודית תקפה, בנוגע למחלוקות ב</w:t>
      </w:r>
      <w:r w:rsidR="007C02EA">
        <w:rPr>
          <w:rFonts w:ascii="FrankRuehl" w:hAnsi="FrankRuehl" w:cs="FrankRuehl" w:hint="cs"/>
          <w:color w:val="000000"/>
          <w:sz w:val="26"/>
          <w:szCs w:val="26"/>
          <w:rtl/>
        </w:rPr>
        <w:t>אשר</w:t>
      </w:r>
      <w:r>
        <w:rPr>
          <w:rFonts w:ascii="FrankRuehl" w:hAnsi="FrankRuehl" w:cs="FrankRuehl" w:hint="cs"/>
          <w:color w:val="000000"/>
          <w:sz w:val="26"/>
          <w:szCs w:val="26"/>
          <w:rtl/>
        </w:rPr>
        <w:t xml:space="preserve"> לרכוש שנצבר עד למועד הנישואין בלבד. אין באמור משום קביעה באשר לזכויות רכושיות שנצברו לאחר מוע</w:t>
      </w:r>
      <w:r w:rsidR="0064577E">
        <w:rPr>
          <w:rFonts w:ascii="FrankRuehl" w:hAnsi="FrankRuehl" w:cs="FrankRuehl" w:hint="cs"/>
          <w:color w:val="000000"/>
          <w:sz w:val="26"/>
          <w:szCs w:val="26"/>
          <w:rtl/>
        </w:rPr>
        <w:t xml:space="preserve">ד הנישואין, כמו גם באשר לפורום הנאות להכריע בהן. </w:t>
      </w:r>
      <w:r w:rsidR="00BA29BA">
        <w:rPr>
          <w:rFonts w:ascii="FrankRuehl" w:hAnsi="FrankRuehl" w:cs="FrankRuehl" w:hint="cs"/>
          <w:color w:val="000000"/>
          <w:sz w:val="26"/>
          <w:szCs w:val="26"/>
          <w:rtl/>
        </w:rPr>
        <w:t xml:space="preserve">להסרת ספק וסילוק מחלוקות </w:t>
      </w:r>
      <w:r w:rsidR="00EA48D1">
        <w:rPr>
          <w:rFonts w:ascii="FrankRuehl" w:hAnsi="FrankRuehl" w:cs="FrankRuehl" w:hint="cs"/>
          <w:color w:val="000000"/>
          <w:sz w:val="26"/>
          <w:szCs w:val="26"/>
          <w:rtl/>
        </w:rPr>
        <w:t xml:space="preserve">מובהר, שסמכות בית משפט זה חלה גם על טענות </w:t>
      </w:r>
      <w:r w:rsidR="00BA29BA">
        <w:rPr>
          <w:rFonts w:ascii="FrankRuehl" w:hAnsi="FrankRuehl" w:cs="FrankRuehl" w:hint="cs"/>
          <w:color w:val="000000"/>
          <w:sz w:val="26"/>
          <w:szCs w:val="26"/>
          <w:rtl/>
        </w:rPr>
        <w:t>(חלק</w:t>
      </w:r>
      <w:r w:rsidR="0037126C">
        <w:rPr>
          <w:rFonts w:ascii="FrankRuehl" w:hAnsi="FrankRuehl" w:cs="FrankRuehl" w:hint="cs"/>
          <w:color w:val="000000"/>
          <w:sz w:val="26"/>
          <w:szCs w:val="26"/>
          <w:rtl/>
        </w:rPr>
        <w:t>ן</w:t>
      </w:r>
      <w:r w:rsidR="00BA29BA">
        <w:rPr>
          <w:rFonts w:ascii="FrankRuehl" w:hAnsi="FrankRuehl" w:cs="FrankRuehl" w:hint="cs"/>
          <w:color w:val="000000"/>
          <w:sz w:val="26"/>
          <w:szCs w:val="26"/>
          <w:rtl/>
        </w:rPr>
        <w:t xml:space="preserve"> כבר נטען)</w:t>
      </w:r>
      <w:r w:rsidR="0037126C">
        <w:rPr>
          <w:rFonts w:ascii="FrankRuehl" w:hAnsi="FrankRuehl" w:cs="FrankRuehl" w:hint="cs"/>
          <w:color w:val="000000"/>
          <w:sz w:val="26"/>
          <w:szCs w:val="26"/>
          <w:rtl/>
        </w:rPr>
        <w:t>,</w:t>
      </w:r>
      <w:r w:rsidR="00BA29BA">
        <w:rPr>
          <w:rFonts w:ascii="FrankRuehl" w:hAnsi="FrankRuehl" w:cs="FrankRuehl" w:hint="cs"/>
          <w:color w:val="000000"/>
          <w:sz w:val="26"/>
          <w:szCs w:val="26"/>
          <w:rtl/>
        </w:rPr>
        <w:t xml:space="preserve"> </w:t>
      </w:r>
      <w:r w:rsidR="00EA48D1">
        <w:rPr>
          <w:rFonts w:ascii="FrankRuehl" w:hAnsi="FrankRuehl" w:cs="FrankRuehl" w:hint="cs"/>
          <w:color w:val="000000"/>
          <w:sz w:val="26"/>
          <w:szCs w:val="26"/>
          <w:rtl/>
        </w:rPr>
        <w:t>ל</w:t>
      </w:r>
      <w:r w:rsidR="008936BE">
        <w:rPr>
          <w:rFonts w:ascii="FrankRuehl" w:hAnsi="FrankRuehl" w:cs="FrankRuehl" w:hint="cs"/>
          <w:color w:val="000000"/>
          <w:sz w:val="26"/>
          <w:szCs w:val="26"/>
          <w:rtl/>
        </w:rPr>
        <w:t xml:space="preserve">קשר </w:t>
      </w:r>
      <w:r w:rsidR="00EA48D1">
        <w:rPr>
          <w:rFonts w:ascii="FrankRuehl" w:hAnsi="FrankRuehl" w:cs="FrankRuehl" w:hint="cs"/>
          <w:color w:val="000000"/>
          <w:sz w:val="26"/>
          <w:szCs w:val="26"/>
          <w:rtl/>
        </w:rPr>
        <w:t xml:space="preserve">אפשרי בין רכוש שנצבר לפני נישואי הצדדים לבין רכוש שנצבר לאחריהם (תחלוף וכו'). </w:t>
      </w:r>
      <w:r w:rsidR="00BA29BA">
        <w:rPr>
          <w:rFonts w:ascii="FrankRuehl" w:hAnsi="FrankRuehl" w:cs="FrankRuehl" w:hint="cs"/>
          <w:color w:val="000000"/>
          <w:sz w:val="26"/>
          <w:szCs w:val="26"/>
          <w:rtl/>
        </w:rPr>
        <w:t xml:space="preserve">בהינתן קשר סיבתי כאמור (ואינני קובע </w:t>
      </w:r>
      <w:r w:rsidR="00EA48D1">
        <w:rPr>
          <w:rFonts w:ascii="FrankRuehl" w:hAnsi="FrankRuehl" w:cs="FrankRuehl" w:hint="cs"/>
          <w:color w:val="000000"/>
          <w:sz w:val="26"/>
          <w:szCs w:val="26"/>
          <w:rtl/>
        </w:rPr>
        <w:t>מאומה לעיצומם של דברים</w:t>
      </w:r>
      <w:r w:rsidR="00BA29BA">
        <w:rPr>
          <w:rFonts w:ascii="FrankRuehl" w:hAnsi="FrankRuehl" w:cs="FrankRuehl" w:hint="cs"/>
          <w:color w:val="000000"/>
          <w:sz w:val="26"/>
          <w:szCs w:val="26"/>
          <w:rtl/>
        </w:rPr>
        <w:t>)</w:t>
      </w:r>
      <w:r w:rsidR="00EA48D1">
        <w:rPr>
          <w:rFonts w:ascii="FrankRuehl" w:hAnsi="FrankRuehl" w:cs="FrankRuehl" w:hint="cs"/>
          <w:color w:val="000000"/>
          <w:sz w:val="26"/>
          <w:szCs w:val="26"/>
          <w:rtl/>
        </w:rPr>
        <w:t>,</w:t>
      </w:r>
      <w:r w:rsidR="00BA29BA">
        <w:rPr>
          <w:rFonts w:ascii="FrankRuehl" w:hAnsi="FrankRuehl" w:cs="FrankRuehl" w:hint="cs"/>
          <w:color w:val="000000"/>
          <w:sz w:val="26"/>
          <w:szCs w:val="26"/>
          <w:rtl/>
        </w:rPr>
        <w:t xml:space="preserve"> הולך החבל אחר הדלי</w:t>
      </w:r>
      <w:r w:rsidR="00EA48D1">
        <w:rPr>
          <w:rFonts w:ascii="FrankRuehl" w:hAnsi="FrankRuehl" w:cs="FrankRuehl" w:hint="cs"/>
          <w:color w:val="000000"/>
          <w:sz w:val="26"/>
          <w:szCs w:val="26"/>
          <w:rtl/>
        </w:rPr>
        <w:t>.</w:t>
      </w:r>
    </w:p>
    <w:p w:rsidR="00434815" w:rsidRDefault="00434815" w:rsidP="00430FF7">
      <w:pPr>
        <w:pStyle w:val="ad"/>
        <w:numPr>
          <w:ilvl w:val="0"/>
          <w:numId w:val="1"/>
        </w:numPr>
        <w:spacing w:after="240" w:line="360" w:lineRule="auto"/>
        <w:contextualSpacing w:val="0"/>
        <w:jc w:val="both"/>
        <w:rPr>
          <w:rFonts w:ascii="FrankRuehl" w:hAnsi="FrankRuehl" w:cs="FrankRuehl"/>
          <w:color w:val="000000"/>
          <w:sz w:val="26"/>
          <w:szCs w:val="26"/>
        </w:rPr>
      </w:pPr>
      <w:r>
        <w:rPr>
          <w:rFonts w:ascii="FrankRuehl" w:hAnsi="FrankRuehl" w:cs="FrankRuehl" w:hint="cs"/>
          <w:color w:val="000000"/>
          <w:sz w:val="26"/>
          <w:szCs w:val="26"/>
          <w:rtl/>
        </w:rPr>
        <w:t>לנוכח מסקנתי דלעיל, ומבלי ל</w:t>
      </w:r>
      <w:r w:rsidR="004916DC">
        <w:rPr>
          <w:rFonts w:ascii="FrankRuehl" w:hAnsi="FrankRuehl" w:cs="FrankRuehl" w:hint="cs"/>
          <w:color w:val="000000"/>
          <w:sz w:val="26"/>
          <w:szCs w:val="26"/>
          <w:rtl/>
        </w:rPr>
        <w:t>קבוע</w:t>
      </w:r>
      <w:r>
        <w:rPr>
          <w:rFonts w:ascii="FrankRuehl" w:hAnsi="FrankRuehl" w:cs="FrankRuehl" w:hint="cs"/>
          <w:color w:val="000000"/>
          <w:sz w:val="26"/>
          <w:szCs w:val="26"/>
          <w:rtl/>
        </w:rPr>
        <w:t xml:space="preserve"> מסמרות, יכול ומחלוק</w:t>
      </w:r>
      <w:r w:rsidR="004F72FB">
        <w:rPr>
          <w:rFonts w:ascii="FrankRuehl" w:hAnsi="FrankRuehl" w:cs="FrankRuehl" w:hint="cs"/>
          <w:color w:val="000000"/>
          <w:sz w:val="26"/>
          <w:szCs w:val="26"/>
          <w:rtl/>
        </w:rPr>
        <w:t xml:space="preserve">ות </w:t>
      </w:r>
      <w:r>
        <w:rPr>
          <w:rFonts w:ascii="FrankRuehl" w:hAnsi="FrankRuehl" w:cs="FrankRuehl" w:hint="cs"/>
          <w:color w:val="000000"/>
          <w:sz w:val="26"/>
          <w:szCs w:val="26"/>
          <w:rtl/>
        </w:rPr>
        <w:t>רכושי</w:t>
      </w:r>
      <w:r w:rsidR="004F72FB">
        <w:rPr>
          <w:rFonts w:ascii="FrankRuehl" w:hAnsi="FrankRuehl" w:cs="FrankRuehl" w:hint="cs"/>
          <w:color w:val="000000"/>
          <w:sz w:val="26"/>
          <w:szCs w:val="26"/>
          <w:rtl/>
        </w:rPr>
        <w:t>ו</w:t>
      </w:r>
      <w:r>
        <w:rPr>
          <w:rFonts w:ascii="FrankRuehl" w:hAnsi="FrankRuehl" w:cs="FrankRuehl" w:hint="cs"/>
          <w:color w:val="000000"/>
          <w:sz w:val="26"/>
          <w:szCs w:val="26"/>
          <w:rtl/>
        </w:rPr>
        <w:t xml:space="preserve">ת בין הצדדים </w:t>
      </w:r>
      <w:r w:rsidR="004F72FB">
        <w:rPr>
          <w:rFonts w:ascii="FrankRuehl" w:hAnsi="FrankRuehl" w:cs="FrankRuehl" w:hint="cs"/>
          <w:color w:val="000000"/>
          <w:sz w:val="26"/>
          <w:szCs w:val="26"/>
          <w:rtl/>
        </w:rPr>
        <w:t>יידונו</w:t>
      </w:r>
      <w:r>
        <w:rPr>
          <w:rFonts w:ascii="FrankRuehl" w:hAnsi="FrankRuehl" w:cs="FrankRuehl" w:hint="cs"/>
          <w:color w:val="000000"/>
          <w:sz w:val="26"/>
          <w:szCs w:val="26"/>
          <w:rtl/>
        </w:rPr>
        <w:t xml:space="preserve"> בשתי ערכאות. הנתבעת לא הרחיבה את טיעונה בעניין זה, לבד מאיזכור עניין ראדא וטענתה, שהתביעה הרכושית, המתנהלת בסינגפור, "בולעת" את התביעה שלפניי. בעניין ראדא</w:t>
      </w:r>
      <w:r w:rsidR="00605B2D">
        <w:rPr>
          <w:rFonts w:ascii="FrankRuehl" w:hAnsi="FrankRuehl" w:cs="FrankRuehl" w:hint="cs"/>
          <w:color w:val="000000"/>
          <w:sz w:val="26"/>
          <w:szCs w:val="26"/>
          <w:rtl/>
        </w:rPr>
        <w:t xml:space="preserve"> (עמ' 478)</w:t>
      </w:r>
      <w:r>
        <w:rPr>
          <w:rFonts w:ascii="FrankRuehl" w:hAnsi="FrankRuehl" w:cs="FrankRuehl" w:hint="cs"/>
          <w:color w:val="000000"/>
          <w:sz w:val="26"/>
          <w:szCs w:val="26"/>
          <w:rtl/>
        </w:rPr>
        <w:t xml:space="preserve">, כמו גם בעניין </w:t>
      </w:r>
      <w:r w:rsidR="00605B2D">
        <w:rPr>
          <w:rFonts w:ascii="FrankRuehl" w:hAnsi="FrankRuehl" w:cs="FrankRuehl" w:hint="cs"/>
          <w:color w:val="000000"/>
          <w:sz w:val="26"/>
          <w:szCs w:val="26"/>
          <w:rtl/>
        </w:rPr>
        <w:t>דורון (סעיף 17 לפסק הדין) נקבע,</w:t>
      </w:r>
      <w:r w:rsidR="004F72FB">
        <w:rPr>
          <w:rFonts w:ascii="FrankRuehl" w:hAnsi="FrankRuehl" w:cs="FrankRuehl" w:hint="cs"/>
          <w:color w:val="000000"/>
          <w:sz w:val="26"/>
          <w:szCs w:val="26"/>
          <w:rtl/>
        </w:rPr>
        <w:t xml:space="preserve"> שפיצול הדיון (</w:t>
      </w:r>
      <w:r w:rsidR="00605B2D">
        <w:rPr>
          <w:rFonts w:ascii="FrankRuehl" w:hAnsi="FrankRuehl" w:cs="FrankRuehl" w:hint="cs"/>
          <w:color w:val="000000"/>
          <w:sz w:val="26"/>
          <w:szCs w:val="26"/>
          <w:rtl/>
        </w:rPr>
        <w:t>כאשר תניית שיפוט חלה רק על חלק מ</w:t>
      </w:r>
      <w:r w:rsidR="00D22A78">
        <w:rPr>
          <w:rFonts w:ascii="FrankRuehl" w:hAnsi="FrankRuehl" w:cs="FrankRuehl" w:hint="cs"/>
          <w:color w:val="000000"/>
          <w:sz w:val="26"/>
          <w:szCs w:val="26"/>
          <w:rtl/>
        </w:rPr>
        <w:t>בעלי הדין</w:t>
      </w:r>
      <w:r w:rsidR="004F72FB">
        <w:rPr>
          <w:rFonts w:ascii="FrankRuehl" w:hAnsi="FrankRuehl" w:cs="FrankRuehl" w:hint="cs"/>
          <w:color w:val="000000"/>
          <w:sz w:val="26"/>
          <w:szCs w:val="26"/>
          <w:rtl/>
        </w:rPr>
        <w:t>)</w:t>
      </w:r>
      <w:r w:rsidR="00605B2D">
        <w:rPr>
          <w:rFonts w:ascii="FrankRuehl" w:hAnsi="FrankRuehl" w:cs="FrankRuehl" w:hint="cs"/>
          <w:color w:val="000000"/>
          <w:sz w:val="26"/>
          <w:szCs w:val="26"/>
          <w:rtl/>
        </w:rPr>
        <w:t>, לא מצדיקה, על דרך הכלל, לה</w:t>
      </w:r>
      <w:r w:rsidR="00D22A78">
        <w:rPr>
          <w:rFonts w:ascii="FrankRuehl" w:hAnsi="FrankRuehl" w:cs="FrankRuehl" w:hint="cs"/>
          <w:color w:val="000000"/>
          <w:sz w:val="26"/>
          <w:szCs w:val="26"/>
          <w:rtl/>
        </w:rPr>
        <w:t xml:space="preserve">ימנע מכיבוד </w:t>
      </w:r>
      <w:r w:rsidR="00605B2D">
        <w:rPr>
          <w:rFonts w:ascii="FrankRuehl" w:hAnsi="FrankRuehl" w:cs="FrankRuehl" w:hint="cs"/>
          <w:color w:val="000000"/>
          <w:sz w:val="26"/>
          <w:szCs w:val="26"/>
          <w:rtl/>
        </w:rPr>
        <w:t>תניית שיפוט ייחודית</w:t>
      </w:r>
      <w:r w:rsidR="00C302AB">
        <w:rPr>
          <w:rFonts w:ascii="FrankRuehl" w:hAnsi="FrankRuehl" w:cs="FrankRuehl" w:hint="cs"/>
          <w:color w:val="000000"/>
          <w:sz w:val="26"/>
          <w:szCs w:val="26"/>
          <w:rtl/>
        </w:rPr>
        <w:t xml:space="preserve"> (עוד ר', </w:t>
      </w:r>
      <w:r w:rsidR="00C302AB" w:rsidRPr="00C302AB">
        <w:rPr>
          <w:rFonts w:ascii="FrankRuehl" w:hAnsi="FrankRuehl" w:cs="FrankRuehl"/>
          <w:color w:val="000000"/>
          <w:sz w:val="26"/>
          <w:szCs w:val="26"/>
          <w:rtl/>
        </w:rPr>
        <w:t xml:space="preserve">רע"א 6574/12 </w:t>
      </w:r>
      <w:r w:rsidR="00C302AB" w:rsidRPr="00C302AB">
        <w:rPr>
          <w:rFonts w:ascii="FrankRuehl" w:hAnsi="FrankRuehl" w:cs="FrankRuehl"/>
          <w:b/>
          <w:bCs/>
          <w:color w:val="000000"/>
          <w:sz w:val="26"/>
          <w:szCs w:val="26"/>
          <w:rtl/>
        </w:rPr>
        <w:t>סאמיט פאנד ניהול השקעות בע"מ נ' אלינור בן יעקב</w:t>
      </w:r>
      <w:r w:rsidR="00C302AB" w:rsidRPr="00C302AB">
        <w:rPr>
          <w:rFonts w:ascii="FrankRuehl" w:hAnsi="FrankRuehl" w:cs="FrankRuehl"/>
          <w:color w:val="000000"/>
          <w:sz w:val="26"/>
          <w:szCs w:val="26"/>
          <w:rtl/>
        </w:rPr>
        <w:t xml:space="preserve"> (07.03.2013)</w:t>
      </w:r>
      <w:r w:rsidR="00C302AB" w:rsidRPr="00C302AB">
        <w:rPr>
          <w:rFonts w:ascii="FrankRuehl" w:hAnsi="FrankRuehl" w:cs="FrankRuehl" w:hint="cs"/>
          <w:color w:val="000000"/>
          <w:sz w:val="26"/>
          <w:szCs w:val="26"/>
          <w:rtl/>
        </w:rPr>
        <w:t xml:space="preserve"> )</w:t>
      </w:r>
      <w:r w:rsidR="00D22A78">
        <w:rPr>
          <w:rFonts w:ascii="FrankRuehl" w:hAnsi="FrankRuehl" w:cs="FrankRuehl" w:hint="cs"/>
          <w:color w:val="000000"/>
          <w:sz w:val="26"/>
          <w:szCs w:val="26"/>
          <w:rtl/>
        </w:rPr>
        <w:t>.</w:t>
      </w:r>
      <w:r w:rsidR="00605B2D">
        <w:rPr>
          <w:rFonts w:ascii="FrankRuehl" w:hAnsi="FrankRuehl" w:cs="FrankRuehl" w:hint="cs"/>
          <w:color w:val="000000"/>
          <w:sz w:val="26"/>
          <w:szCs w:val="26"/>
          <w:rtl/>
        </w:rPr>
        <w:t xml:space="preserve"> </w:t>
      </w:r>
      <w:r w:rsidR="00D22A78">
        <w:rPr>
          <w:rFonts w:ascii="FrankRuehl" w:hAnsi="FrankRuehl" w:cs="FrankRuehl" w:hint="cs"/>
          <w:color w:val="000000"/>
          <w:sz w:val="26"/>
          <w:szCs w:val="26"/>
          <w:rtl/>
        </w:rPr>
        <w:t xml:space="preserve">אני סבור שהלכה זו חלה, </w:t>
      </w:r>
      <w:r w:rsidR="00BE6F1F">
        <w:rPr>
          <w:rFonts w:ascii="FrankRuehl" w:hAnsi="FrankRuehl" w:cs="FrankRuehl" w:hint="cs"/>
          <w:color w:val="000000"/>
          <w:sz w:val="26"/>
          <w:szCs w:val="26"/>
          <w:rtl/>
        </w:rPr>
        <w:t>גם</w:t>
      </w:r>
      <w:r w:rsidR="00D22A78">
        <w:rPr>
          <w:rFonts w:ascii="FrankRuehl" w:hAnsi="FrankRuehl" w:cs="FrankRuehl" w:hint="cs"/>
          <w:color w:val="000000"/>
          <w:sz w:val="26"/>
          <w:szCs w:val="26"/>
          <w:rtl/>
        </w:rPr>
        <w:t xml:space="preserve"> כאשר הפיצול נובע מעילות שונות בין אותם בעלי דין</w:t>
      </w:r>
      <w:r w:rsidR="00BE6F1F">
        <w:rPr>
          <w:rFonts w:ascii="FrankRuehl" w:hAnsi="FrankRuehl" w:cs="FrankRuehl" w:hint="cs"/>
          <w:color w:val="000000"/>
          <w:sz w:val="26"/>
          <w:szCs w:val="26"/>
          <w:rtl/>
        </w:rPr>
        <w:t>, אפילו ההליכים קרובים רעיונית</w:t>
      </w:r>
      <w:r w:rsidR="00D22A78">
        <w:rPr>
          <w:rFonts w:ascii="FrankRuehl" w:hAnsi="FrankRuehl" w:cs="FrankRuehl" w:hint="cs"/>
          <w:color w:val="000000"/>
          <w:sz w:val="26"/>
          <w:szCs w:val="26"/>
          <w:rtl/>
        </w:rPr>
        <w:t xml:space="preserve">. </w:t>
      </w:r>
      <w:r w:rsidR="00BE6F1F">
        <w:rPr>
          <w:rFonts w:ascii="FrankRuehl" w:hAnsi="FrankRuehl" w:cs="FrankRuehl" w:hint="cs"/>
          <w:color w:val="000000"/>
          <w:sz w:val="26"/>
          <w:szCs w:val="26"/>
          <w:rtl/>
        </w:rPr>
        <w:t xml:space="preserve">הסכמת צדדים להכפיף נושא מסויים לתניית שיפוט ייחודית משמעותה, מטבע הדברים, שיכול ונושאים אחרים ידונו שלא לפי תניית השיפוט. לפיכך, </w:t>
      </w:r>
      <w:r w:rsidR="006E3F06">
        <w:rPr>
          <w:rFonts w:ascii="FrankRuehl" w:hAnsi="FrankRuehl" w:cs="FrankRuehl" w:hint="cs"/>
          <w:color w:val="000000"/>
          <w:sz w:val="26"/>
          <w:szCs w:val="26"/>
          <w:rtl/>
        </w:rPr>
        <w:t xml:space="preserve">הפיצול הדיוני </w:t>
      </w:r>
      <w:r w:rsidR="00BE6F1F">
        <w:rPr>
          <w:rFonts w:ascii="FrankRuehl" w:hAnsi="FrankRuehl" w:cs="FrankRuehl" w:hint="cs"/>
          <w:color w:val="000000"/>
          <w:sz w:val="26"/>
          <w:szCs w:val="26"/>
          <w:rtl/>
        </w:rPr>
        <w:t xml:space="preserve">איננו אלא יישום של </w:t>
      </w:r>
      <w:r w:rsidR="006E3F06">
        <w:rPr>
          <w:rFonts w:ascii="FrankRuehl" w:hAnsi="FrankRuehl" w:cs="FrankRuehl" w:hint="cs"/>
          <w:color w:val="000000"/>
          <w:sz w:val="26"/>
          <w:szCs w:val="26"/>
          <w:rtl/>
        </w:rPr>
        <w:t>הסכמת הצדדים בנוגע לסמכות השיפוט. לכן</w:t>
      </w:r>
      <w:r w:rsidR="00430FF7">
        <w:rPr>
          <w:rFonts w:ascii="FrankRuehl" w:hAnsi="FrankRuehl" w:cs="FrankRuehl" w:hint="cs"/>
          <w:color w:val="000000"/>
          <w:sz w:val="26"/>
          <w:szCs w:val="26"/>
          <w:rtl/>
        </w:rPr>
        <w:t xml:space="preserve">, </w:t>
      </w:r>
      <w:r w:rsidR="00BE6F1F">
        <w:rPr>
          <w:rFonts w:ascii="FrankRuehl" w:hAnsi="FrankRuehl" w:cs="FrankRuehl" w:hint="cs"/>
          <w:color w:val="000000"/>
          <w:sz w:val="26"/>
          <w:szCs w:val="26"/>
          <w:rtl/>
        </w:rPr>
        <w:t>מוקשה שצד לאותה הסכמה</w:t>
      </w:r>
      <w:r w:rsidR="0037126C">
        <w:rPr>
          <w:rFonts w:ascii="FrankRuehl" w:hAnsi="FrankRuehl" w:cs="FrankRuehl" w:hint="cs"/>
          <w:color w:val="000000"/>
          <w:sz w:val="26"/>
          <w:szCs w:val="26"/>
          <w:rtl/>
        </w:rPr>
        <w:t>,</w:t>
      </w:r>
      <w:r w:rsidR="00BE6F1F">
        <w:rPr>
          <w:rFonts w:ascii="FrankRuehl" w:hAnsi="FrankRuehl" w:cs="FrankRuehl" w:hint="cs"/>
          <w:color w:val="000000"/>
          <w:sz w:val="26"/>
          <w:szCs w:val="26"/>
          <w:rtl/>
        </w:rPr>
        <w:t xml:space="preserve"> יטען</w:t>
      </w:r>
      <w:r w:rsidR="0037126C">
        <w:rPr>
          <w:rFonts w:ascii="FrankRuehl" w:hAnsi="FrankRuehl" w:cs="FrankRuehl" w:hint="cs"/>
          <w:color w:val="000000"/>
          <w:sz w:val="26"/>
          <w:szCs w:val="26"/>
          <w:rtl/>
        </w:rPr>
        <w:t>,</w:t>
      </w:r>
      <w:r w:rsidR="00BE6F1F">
        <w:rPr>
          <w:rFonts w:ascii="FrankRuehl" w:hAnsi="FrankRuehl" w:cs="FrankRuehl" w:hint="cs"/>
          <w:color w:val="000000"/>
          <w:sz w:val="26"/>
          <w:szCs w:val="26"/>
          <w:rtl/>
        </w:rPr>
        <w:t xml:space="preserve"> בשם פיצ</w:t>
      </w:r>
      <w:r w:rsidR="0037126C">
        <w:rPr>
          <w:rFonts w:ascii="FrankRuehl" w:hAnsi="FrankRuehl" w:cs="FrankRuehl" w:hint="cs"/>
          <w:color w:val="000000"/>
          <w:sz w:val="26"/>
          <w:szCs w:val="26"/>
          <w:rtl/>
        </w:rPr>
        <w:t>ול הדיון, כנגדה</w:t>
      </w:r>
      <w:r w:rsidR="006E3F06">
        <w:rPr>
          <w:rFonts w:ascii="FrankRuehl" w:hAnsi="FrankRuehl" w:cs="FrankRuehl" w:hint="cs"/>
          <w:color w:val="000000"/>
          <w:sz w:val="26"/>
          <w:szCs w:val="26"/>
          <w:rtl/>
        </w:rPr>
        <w:t xml:space="preserve">. </w:t>
      </w:r>
      <w:r w:rsidR="009F46D6">
        <w:rPr>
          <w:rFonts w:ascii="FrankRuehl" w:hAnsi="FrankRuehl" w:cs="FrankRuehl" w:hint="cs"/>
          <w:color w:val="000000"/>
          <w:sz w:val="26"/>
          <w:szCs w:val="26"/>
          <w:rtl/>
        </w:rPr>
        <w:t>יתירה מזו,</w:t>
      </w:r>
      <w:r w:rsidR="00D22A78">
        <w:rPr>
          <w:rFonts w:ascii="FrankRuehl" w:hAnsi="FrankRuehl" w:cs="FrankRuehl" w:hint="cs"/>
          <w:color w:val="000000"/>
          <w:sz w:val="26"/>
          <w:szCs w:val="26"/>
          <w:rtl/>
        </w:rPr>
        <w:t xml:space="preserve"> דיון בעילות תביעה שונות, הוא, הלכה למעשה, דיון בתביעות שונות</w:t>
      </w:r>
      <w:r w:rsidR="004F72FB">
        <w:rPr>
          <w:rFonts w:ascii="FrankRuehl" w:hAnsi="FrankRuehl" w:cs="FrankRuehl" w:hint="cs"/>
          <w:color w:val="000000"/>
          <w:sz w:val="26"/>
          <w:szCs w:val="26"/>
          <w:rtl/>
        </w:rPr>
        <w:t xml:space="preserve">. </w:t>
      </w:r>
      <w:r w:rsidR="00D22A78">
        <w:rPr>
          <w:rFonts w:ascii="FrankRuehl" w:hAnsi="FrankRuehl" w:cs="FrankRuehl" w:hint="cs"/>
          <w:color w:val="000000"/>
          <w:sz w:val="26"/>
          <w:szCs w:val="26"/>
          <w:rtl/>
        </w:rPr>
        <w:t>עובד</w:t>
      </w:r>
      <w:r w:rsidR="00B90D28">
        <w:rPr>
          <w:rFonts w:ascii="FrankRuehl" w:hAnsi="FrankRuehl" w:cs="FrankRuehl" w:hint="cs"/>
          <w:color w:val="000000"/>
          <w:sz w:val="26"/>
          <w:szCs w:val="26"/>
          <w:rtl/>
        </w:rPr>
        <w:t xml:space="preserve">ה </w:t>
      </w:r>
      <w:r w:rsidR="004F72FB">
        <w:rPr>
          <w:rFonts w:ascii="FrankRuehl" w:hAnsi="FrankRuehl" w:cs="FrankRuehl" w:hint="cs"/>
          <w:color w:val="000000"/>
          <w:sz w:val="26"/>
          <w:szCs w:val="26"/>
          <w:rtl/>
        </w:rPr>
        <w:t xml:space="preserve">זו, </w:t>
      </w:r>
      <w:r w:rsidR="00B90D28">
        <w:rPr>
          <w:rFonts w:ascii="FrankRuehl" w:hAnsi="FrankRuehl" w:cs="FrankRuehl" w:hint="cs"/>
          <w:color w:val="000000"/>
          <w:sz w:val="26"/>
          <w:szCs w:val="26"/>
          <w:rtl/>
        </w:rPr>
        <w:t>מצמצמת את הסיכון להכרעות סותרות. במקרה זה, עילת התביעה לגבי רכוש שנצבר עד למועד הנישואין היא עילה חוזית, בעוד עילת התביעה לגבי רכוש שנצבר לאחר הנישואין, איננה כזו. גם הרכוש מושא ההליכים מובחן על ציר הזמן, לפי מועד צבירתו.</w:t>
      </w:r>
      <w:r w:rsidR="005D7CD2">
        <w:rPr>
          <w:rFonts w:ascii="FrankRuehl" w:hAnsi="FrankRuehl" w:cs="FrankRuehl" w:hint="cs"/>
          <w:color w:val="000000"/>
          <w:sz w:val="26"/>
          <w:szCs w:val="26"/>
          <w:rtl/>
        </w:rPr>
        <w:t xml:space="preserve"> </w:t>
      </w:r>
    </w:p>
    <w:p w:rsidR="004E5A00" w:rsidRDefault="004E5A00" w:rsidP="00BE19F4">
      <w:pPr>
        <w:pStyle w:val="ad"/>
        <w:numPr>
          <w:ilvl w:val="0"/>
          <w:numId w:val="1"/>
        </w:numPr>
        <w:spacing w:after="240" w:line="360" w:lineRule="auto"/>
        <w:contextualSpacing w:val="0"/>
        <w:jc w:val="both"/>
        <w:rPr>
          <w:rFonts w:ascii="FrankRuehl" w:hAnsi="FrankRuehl" w:cs="FrankRuehl"/>
          <w:color w:val="000000"/>
          <w:sz w:val="26"/>
          <w:szCs w:val="26"/>
        </w:rPr>
      </w:pPr>
      <w:r>
        <w:rPr>
          <w:rFonts w:ascii="FrankRuehl" w:hAnsi="FrankRuehl" w:cs="FrankRuehl" w:hint="cs"/>
          <w:color w:val="000000"/>
          <w:sz w:val="26"/>
          <w:szCs w:val="26"/>
          <w:rtl/>
        </w:rPr>
        <w:t>הגם שהתובע התיימר</w:t>
      </w:r>
      <w:r w:rsidR="0037126C">
        <w:rPr>
          <w:rFonts w:ascii="FrankRuehl" w:hAnsi="FrankRuehl" w:cs="FrankRuehl" w:hint="cs"/>
          <w:color w:val="000000"/>
          <w:sz w:val="26"/>
          <w:szCs w:val="26"/>
          <w:rtl/>
        </w:rPr>
        <w:t>,</w:t>
      </w:r>
      <w:r>
        <w:rPr>
          <w:rFonts w:ascii="FrankRuehl" w:hAnsi="FrankRuehl" w:cs="FrankRuehl" w:hint="cs"/>
          <w:color w:val="000000"/>
          <w:sz w:val="26"/>
          <w:szCs w:val="26"/>
          <w:rtl/>
        </w:rPr>
        <w:t xml:space="preserve"> לפרט את הרכוש המשותף, לא נשמעו ראיות בעניין זה, ואף לא נעשתה הבחנה בין רכוש שנצבר עד מועד נישואי הצדדים, וממועד זה ואילך. לפיכך, יישום הוראות ההסכם, לפי פסק דין זה, ייעשה במסגרת הליך נפרד.</w:t>
      </w:r>
    </w:p>
    <w:p w:rsidR="00086CFA" w:rsidRPr="00086CFA" w:rsidRDefault="00086CFA" w:rsidP="00086CFA">
      <w:pPr>
        <w:spacing w:after="240" w:line="360" w:lineRule="auto"/>
        <w:jc w:val="both"/>
        <w:rPr>
          <w:rFonts w:ascii="Miriam" w:hAnsi="Miriam" w:cs="Miriam"/>
          <w:b/>
          <w:bCs/>
          <w:color w:val="000000"/>
        </w:rPr>
      </w:pPr>
      <w:r w:rsidRPr="00086CFA">
        <w:rPr>
          <w:rFonts w:ascii="Miriam" w:hAnsi="Miriam" w:cs="Miriam"/>
          <w:b/>
          <w:bCs/>
          <w:color w:val="000000"/>
          <w:rtl/>
        </w:rPr>
        <w:t>סופו של דבר</w:t>
      </w:r>
    </w:p>
    <w:p w:rsidR="00AF121B" w:rsidRDefault="00086CFA" w:rsidP="00086CFA">
      <w:pPr>
        <w:pStyle w:val="ad"/>
        <w:numPr>
          <w:ilvl w:val="0"/>
          <w:numId w:val="1"/>
        </w:numPr>
        <w:spacing w:after="240" w:line="360" w:lineRule="auto"/>
        <w:contextualSpacing w:val="0"/>
        <w:jc w:val="both"/>
        <w:rPr>
          <w:rFonts w:ascii="FrankRuehl" w:hAnsi="FrankRuehl" w:cs="FrankRuehl"/>
          <w:color w:val="000000"/>
          <w:sz w:val="26"/>
          <w:szCs w:val="26"/>
        </w:rPr>
      </w:pPr>
      <w:r>
        <w:rPr>
          <w:rFonts w:ascii="FrankRuehl" w:hAnsi="FrankRuehl" w:cs="FrankRuehl" w:hint="cs"/>
          <w:color w:val="000000"/>
          <w:sz w:val="26"/>
          <w:szCs w:val="26"/>
          <w:rtl/>
        </w:rPr>
        <w:t>אשר על כן, נפסק כלהלן:</w:t>
      </w:r>
    </w:p>
    <w:p w:rsidR="00086CFA" w:rsidRDefault="00086CFA" w:rsidP="00446F11">
      <w:pPr>
        <w:pStyle w:val="ad"/>
        <w:numPr>
          <w:ilvl w:val="1"/>
          <w:numId w:val="1"/>
        </w:numPr>
        <w:spacing w:after="240" w:line="360" w:lineRule="auto"/>
        <w:ind w:left="1134" w:hanging="567"/>
        <w:contextualSpacing w:val="0"/>
        <w:jc w:val="both"/>
        <w:rPr>
          <w:rFonts w:ascii="FrankRuehl" w:hAnsi="FrankRuehl" w:cs="FrankRuehl"/>
          <w:color w:val="000000"/>
          <w:sz w:val="26"/>
          <w:szCs w:val="26"/>
        </w:rPr>
      </w:pPr>
      <w:r>
        <w:rPr>
          <w:rFonts w:ascii="FrankRuehl" w:hAnsi="FrankRuehl" w:cs="FrankRuehl" w:hint="cs"/>
          <w:color w:val="000000"/>
          <w:sz w:val="26"/>
          <w:szCs w:val="26"/>
          <w:rtl/>
        </w:rPr>
        <w:t>ההסכם הוא בר אכיפה, בערכאות בישראל, בכל הנוגע לרכוש</w:t>
      </w:r>
      <w:r w:rsidR="0037126C">
        <w:rPr>
          <w:rFonts w:ascii="FrankRuehl" w:hAnsi="FrankRuehl" w:cs="FrankRuehl" w:hint="cs"/>
          <w:color w:val="000000"/>
          <w:sz w:val="26"/>
          <w:szCs w:val="26"/>
          <w:rtl/>
        </w:rPr>
        <w:t>,</w:t>
      </w:r>
      <w:r>
        <w:rPr>
          <w:rFonts w:ascii="FrankRuehl" w:hAnsi="FrankRuehl" w:cs="FrankRuehl" w:hint="cs"/>
          <w:color w:val="000000"/>
          <w:sz w:val="26"/>
          <w:szCs w:val="26"/>
          <w:rtl/>
        </w:rPr>
        <w:t xml:space="preserve"> שנצבר עד </w:t>
      </w:r>
      <w:r w:rsidR="006E3F06">
        <w:rPr>
          <w:rFonts w:ascii="FrankRuehl" w:hAnsi="FrankRuehl" w:cs="FrankRuehl" w:hint="cs"/>
          <w:color w:val="000000"/>
          <w:sz w:val="26"/>
          <w:szCs w:val="26"/>
          <w:rtl/>
        </w:rPr>
        <w:t>למועד נישואי הצדדים (16.1.2020)</w:t>
      </w:r>
      <w:r w:rsidR="00446F11">
        <w:rPr>
          <w:rFonts w:ascii="FrankRuehl" w:hAnsi="FrankRuehl" w:cs="FrankRuehl" w:hint="cs"/>
          <w:color w:val="000000"/>
          <w:sz w:val="26"/>
          <w:szCs w:val="26"/>
          <w:rtl/>
        </w:rPr>
        <w:t>. הכל</w:t>
      </w:r>
      <w:r w:rsidR="006E3F06">
        <w:rPr>
          <w:rFonts w:ascii="FrankRuehl" w:hAnsi="FrankRuehl" w:cs="FrankRuehl" w:hint="cs"/>
          <w:color w:val="000000"/>
          <w:sz w:val="26"/>
          <w:szCs w:val="26"/>
          <w:rtl/>
        </w:rPr>
        <w:t xml:space="preserve"> כאמור בסעיף 44 לעיל.</w:t>
      </w:r>
    </w:p>
    <w:p w:rsidR="00086CFA" w:rsidRDefault="00086CFA" w:rsidP="006E3F06">
      <w:pPr>
        <w:pStyle w:val="ad"/>
        <w:numPr>
          <w:ilvl w:val="1"/>
          <w:numId w:val="1"/>
        </w:numPr>
        <w:spacing w:after="240" w:line="360" w:lineRule="auto"/>
        <w:ind w:left="1134" w:hanging="567"/>
        <w:contextualSpacing w:val="0"/>
        <w:jc w:val="both"/>
        <w:rPr>
          <w:rFonts w:ascii="FrankRuehl" w:hAnsi="FrankRuehl" w:cs="FrankRuehl"/>
          <w:color w:val="000000"/>
          <w:sz w:val="26"/>
          <w:szCs w:val="26"/>
        </w:rPr>
      </w:pPr>
      <w:r>
        <w:rPr>
          <w:rFonts w:ascii="FrankRuehl" w:hAnsi="FrankRuehl" w:cs="FrankRuehl" w:hint="cs"/>
          <w:color w:val="000000"/>
          <w:sz w:val="26"/>
          <w:szCs w:val="26"/>
          <w:rtl/>
        </w:rPr>
        <w:lastRenderedPageBreak/>
        <w:t>ההסכם אינו בר אכיפה, בכל הנוגע לרכוש שנצבר לאחר נישואי הצדדים</w:t>
      </w:r>
      <w:r w:rsidR="004E5A00">
        <w:rPr>
          <w:rFonts w:ascii="FrankRuehl" w:hAnsi="FrankRuehl" w:cs="FrankRuehl" w:hint="cs"/>
          <w:color w:val="000000"/>
          <w:sz w:val="26"/>
          <w:szCs w:val="26"/>
          <w:rtl/>
        </w:rPr>
        <w:t xml:space="preserve">. </w:t>
      </w:r>
      <w:r w:rsidR="006E3F06">
        <w:rPr>
          <w:rFonts w:ascii="FrankRuehl" w:hAnsi="FrankRuehl" w:cs="FrankRuehl" w:hint="cs"/>
          <w:color w:val="000000"/>
          <w:sz w:val="26"/>
          <w:szCs w:val="26"/>
          <w:rtl/>
        </w:rPr>
        <w:t xml:space="preserve">בנוגע לרכוש זה, </w:t>
      </w:r>
      <w:r>
        <w:rPr>
          <w:rFonts w:ascii="FrankRuehl" w:hAnsi="FrankRuehl" w:cs="FrankRuehl" w:hint="cs"/>
          <w:color w:val="000000"/>
          <w:sz w:val="26"/>
          <w:szCs w:val="26"/>
          <w:rtl/>
        </w:rPr>
        <w:t>שמורות ל</w:t>
      </w:r>
      <w:r w:rsidR="004E5A00">
        <w:rPr>
          <w:rFonts w:ascii="FrankRuehl" w:hAnsi="FrankRuehl" w:cs="FrankRuehl" w:hint="cs"/>
          <w:color w:val="000000"/>
          <w:sz w:val="26"/>
          <w:szCs w:val="26"/>
          <w:rtl/>
        </w:rPr>
        <w:t>שני הצדדים</w:t>
      </w:r>
      <w:r>
        <w:rPr>
          <w:rFonts w:ascii="FrankRuehl" w:hAnsi="FrankRuehl" w:cs="FrankRuehl" w:hint="cs"/>
          <w:color w:val="000000"/>
          <w:sz w:val="26"/>
          <w:szCs w:val="26"/>
          <w:rtl/>
        </w:rPr>
        <w:t xml:space="preserve"> </w:t>
      </w:r>
      <w:r w:rsidR="004E5A00">
        <w:rPr>
          <w:rFonts w:ascii="FrankRuehl" w:hAnsi="FrankRuehl" w:cs="FrankRuehl" w:hint="cs"/>
          <w:color w:val="000000"/>
          <w:sz w:val="26"/>
          <w:szCs w:val="26"/>
          <w:rtl/>
        </w:rPr>
        <w:t>כל טענותיהם (לרבות, לעניין הפורום הנאות, הדין החל ויישומו).</w:t>
      </w:r>
    </w:p>
    <w:p w:rsidR="00F07193" w:rsidRDefault="005F36F7" w:rsidP="00F07193">
      <w:pPr>
        <w:pStyle w:val="ad"/>
        <w:numPr>
          <w:ilvl w:val="1"/>
          <w:numId w:val="1"/>
        </w:numPr>
        <w:spacing w:after="240" w:line="360" w:lineRule="auto"/>
        <w:ind w:left="1134" w:hanging="567"/>
        <w:contextualSpacing w:val="0"/>
        <w:jc w:val="both"/>
        <w:rPr>
          <w:rFonts w:ascii="FrankRuehl" w:hAnsi="FrankRuehl" w:cs="FrankRuehl"/>
          <w:color w:val="000000"/>
          <w:sz w:val="26"/>
          <w:szCs w:val="26"/>
        </w:rPr>
      </w:pPr>
      <w:r>
        <w:rPr>
          <w:rFonts w:ascii="FrankRuehl" w:hAnsi="FrankRuehl" w:cs="FrankRuehl" w:hint="cs"/>
          <w:color w:val="000000"/>
          <w:sz w:val="26"/>
          <w:szCs w:val="26"/>
          <w:rtl/>
        </w:rPr>
        <w:t>אני מחייב את הנתבעת</w:t>
      </w:r>
      <w:r w:rsidR="004C1119">
        <w:rPr>
          <w:rFonts w:ascii="FrankRuehl" w:hAnsi="FrankRuehl" w:cs="FrankRuehl" w:hint="cs"/>
          <w:color w:val="000000"/>
          <w:sz w:val="26"/>
          <w:szCs w:val="26"/>
          <w:rtl/>
        </w:rPr>
        <w:t>,</w:t>
      </w:r>
      <w:r>
        <w:rPr>
          <w:rFonts w:ascii="FrankRuehl" w:hAnsi="FrankRuehl" w:cs="FrankRuehl" w:hint="cs"/>
          <w:color w:val="000000"/>
          <w:sz w:val="26"/>
          <w:szCs w:val="26"/>
          <w:rtl/>
        </w:rPr>
        <w:t xml:space="preserve"> לשלם לתובע</w:t>
      </w:r>
      <w:r w:rsidR="004C1119">
        <w:rPr>
          <w:rFonts w:ascii="FrankRuehl" w:hAnsi="FrankRuehl" w:cs="FrankRuehl" w:hint="cs"/>
          <w:color w:val="000000"/>
          <w:sz w:val="26"/>
          <w:szCs w:val="26"/>
          <w:rtl/>
        </w:rPr>
        <w:t>, את סכום האגר</w:t>
      </w:r>
      <w:r w:rsidR="00F07193">
        <w:rPr>
          <w:rFonts w:ascii="FrankRuehl" w:hAnsi="FrankRuehl" w:cs="FrankRuehl" w:hint="cs"/>
          <w:color w:val="000000"/>
          <w:sz w:val="26"/>
          <w:szCs w:val="26"/>
          <w:rtl/>
        </w:rPr>
        <w:t xml:space="preserve">ות </w:t>
      </w:r>
      <w:r w:rsidR="004C1119">
        <w:rPr>
          <w:rFonts w:ascii="FrankRuehl" w:hAnsi="FrankRuehl" w:cs="FrankRuehl" w:hint="cs"/>
          <w:color w:val="000000"/>
          <w:sz w:val="26"/>
          <w:szCs w:val="26"/>
          <w:rtl/>
        </w:rPr>
        <w:t xml:space="preserve">ששילם </w:t>
      </w:r>
      <w:r w:rsidR="00F07193">
        <w:rPr>
          <w:rFonts w:ascii="FrankRuehl" w:hAnsi="FrankRuehl" w:cs="FrankRuehl" w:hint="cs"/>
          <w:color w:val="000000"/>
          <w:sz w:val="26"/>
          <w:szCs w:val="26"/>
          <w:rtl/>
        </w:rPr>
        <w:t xml:space="preserve">במסגרת </w:t>
      </w:r>
      <w:r w:rsidR="004C1119">
        <w:rPr>
          <w:rFonts w:ascii="FrankRuehl" w:hAnsi="FrankRuehl" w:cs="FrankRuehl" w:hint="cs"/>
          <w:color w:val="000000"/>
          <w:sz w:val="26"/>
          <w:szCs w:val="26"/>
          <w:rtl/>
        </w:rPr>
        <w:t xml:space="preserve">התובענה, וכן </w:t>
      </w:r>
      <w:r w:rsidR="006E3F06">
        <w:rPr>
          <w:rFonts w:ascii="FrankRuehl" w:hAnsi="FrankRuehl" w:cs="FrankRuehl" w:hint="cs"/>
          <w:color w:val="000000"/>
          <w:sz w:val="26"/>
          <w:szCs w:val="26"/>
          <w:rtl/>
        </w:rPr>
        <w:t xml:space="preserve">את הוצאות </w:t>
      </w:r>
      <w:r w:rsidR="00F07193">
        <w:rPr>
          <w:rFonts w:ascii="FrankRuehl" w:hAnsi="FrankRuehl" w:cs="FrankRuehl" w:hint="cs"/>
          <w:color w:val="000000"/>
          <w:sz w:val="26"/>
          <w:szCs w:val="26"/>
          <w:rtl/>
        </w:rPr>
        <w:t>ה</w:t>
      </w:r>
      <w:r w:rsidR="004C1119">
        <w:rPr>
          <w:rFonts w:ascii="FrankRuehl" w:hAnsi="FrankRuehl" w:cs="FrankRuehl" w:hint="cs"/>
          <w:color w:val="000000"/>
          <w:sz w:val="26"/>
          <w:szCs w:val="26"/>
          <w:rtl/>
        </w:rPr>
        <w:t>הקלטה ו</w:t>
      </w:r>
      <w:r w:rsidR="00F07193">
        <w:rPr>
          <w:rFonts w:ascii="FrankRuehl" w:hAnsi="FrankRuehl" w:cs="FrankRuehl" w:hint="cs"/>
          <w:color w:val="000000"/>
          <w:sz w:val="26"/>
          <w:szCs w:val="26"/>
          <w:rtl/>
        </w:rPr>
        <w:t>ה</w:t>
      </w:r>
      <w:r w:rsidR="004C1119">
        <w:rPr>
          <w:rFonts w:ascii="FrankRuehl" w:hAnsi="FrankRuehl" w:cs="FrankRuehl" w:hint="cs"/>
          <w:color w:val="000000"/>
          <w:sz w:val="26"/>
          <w:szCs w:val="26"/>
          <w:rtl/>
        </w:rPr>
        <w:t xml:space="preserve">תמלול. </w:t>
      </w:r>
    </w:p>
    <w:p w:rsidR="00F07193" w:rsidRDefault="00F07193" w:rsidP="00446F11">
      <w:pPr>
        <w:pStyle w:val="ad"/>
        <w:numPr>
          <w:ilvl w:val="1"/>
          <w:numId w:val="1"/>
        </w:numPr>
        <w:spacing w:after="240" w:line="360" w:lineRule="auto"/>
        <w:ind w:left="1134" w:hanging="567"/>
        <w:contextualSpacing w:val="0"/>
        <w:jc w:val="both"/>
        <w:rPr>
          <w:rFonts w:ascii="FrankRuehl" w:hAnsi="FrankRuehl" w:cs="FrankRuehl"/>
          <w:color w:val="000000"/>
          <w:sz w:val="26"/>
          <w:szCs w:val="26"/>
        </w:rPr>
      </w:pPr>
      <w:r>
        <w:rPr>
          <w:rFonts w:ascii="FrankRuehl" w:hAnsi="FrankRuehl" w:cs="FrankRuehl" w:hint="cs"/>
          <w:color w:val="000000"/>
          <w:sz w:val="26"/>
          <w:szCs w:val="26"/>
          <w:rtl/>
        </w:rPr>
        <w:t xml:space="preserve">מאחר, </w:t>
      </w:r>
      <w:r w:rsidR="004E5A00">
        <w:rPr>
          <w:rFonts w:ascii="FrankRuehl" w:hAnsi="FrankRuehl" w:cs="FrankRuehl" w:hint="cs"/>
          <w:color w:val="000000"/>
          <w:sz w:val="26"/>
          <w:szCs w:val="26"/>
          <w:rtl/>
        </w:rPr>
        <w:t>ש</w:t>
      </w:r>
      <w:r>
        <w:rPr>
          <w:rFonts w:ascii="FrankRuehl" w:hAnsi="FrankRuehl" w:cs="FrankRuehl" w:hint="cs"/>
          <w:color w:val="000000"/>
          <w:sz w:val="26"/>
          <w:szCs w:val="26"/>
          <w:rtl/>
        </w:rPr>
        <w:t>טיעונה המרכזי של ה</w:t>
      </w:r>
      <w:r w:rsidR="004E5A00">
        <w:rPr>
          <w:rFonts w:ascii="FrankRuehl" w:hAnsi="FrankRuehl" w:cs="FrankRuehl" w:hint="cs"/>
          <w:color w:val="000000"/>
          <w:sz w:val="26"/>
          <w:szCs w:val="26"/>
          <w:rtl/>
        </w:rPr>
        <w:t>נתבעת</w:t>
      </w:r>
      <w:r>
        <w:rPr>
          <w:rFonts w:ascii="FrankRuehl" w:hAnsi="FrankRuehl" w:cs="FrankRuehl" w:hint="cs"/>
          <w:color w:val="000000"/>
          <w:sz w:val="26"/>
          <w:szCs w:val="26"/>
          <w:rtl/>
        </w:rPr>
        <w:t xml:space="preserve"> נדחה, </w:t>
      </w:r>
      <w:r w:rsidR="0037126C">
        <w:rPr>
          <w:rFonts w:ascii="FrankRuehl" w:hAnsi="FrankRuehl" w:cs="FrankRuehl" w:hint="cs"/>
          <w:color w:val="000000"/>
          <w:sz w:val="26"/>
          <w:szCs w:val="26"/>
          <w:rtl/>
        </w:rPr>
        <w:t xml:space="preserve">אך לא התקבלו מלוא טענות התובע - </w:t>
      </w:r>
      <w:r>
        <w:rPr>
          <w:rFonts w:ascii="FrankRuehl" w:hAnsi="FrankRuehl" w:cs="FrankRuehl" w:hint="cs"/>
          <w:color w:val="000000"/>
          <w:sz w:val="26"/>
          <w:szCs w:val="26"/>
          <w:rtl/>
        </w:rPr>
        <w:t>אני מחייב את</w:t>
      </w:r>
      <w:r w:rsidR="0037126C">
        <w:rPr>
          <w:rFonts w:ascii="FrankRuehl" w:hAnsi="FrankRuehl" w:cs="FrankRuehl" w:hint="cs"/>
          <w:color w:val="000000"/>
          <w:sz w:val="26"/>
          <w:szCs w:val="26"/>
          <w:rtl/>
        </w:rPr>
        <w:t xml:space="preserve"> </w:t>
      </w:r>
      <w:r>
        <w:rPr>
          <w:rFonts w:ascii="FrankRuehl" w:hAnsi="FrankRuehl" w:cs="FrankRuehl" w:hint="cs"/>
          <w:color w:val="000000"/>
          <w:sz w:val="26"/>
          <w:szCs w:val="26"/>
          <w:rtl/>
        </w:rPr>
        <w:t>ה</w:t>
      </w:r>
      <w:r w:rsidR="0037126C">
        <w:rPr>
          <w:rFonts w:ascii="FrankRuehl" w:hAnsi="FrankRuehl" w:cs="FrankRuehl" w:hint="cs"/>
          <w:color w:val="000000"/>
          <w:sz w:val="26"/>
          <w:szCs w:val="26"/>
          <w:rtl/>
        </w:rPr>
        <w:t>נתבעת</w:t>
      </w:r>
      <w:r>
        <w:rPr>
          <w:rFonts w:ascii="FrankRuehl" w:hAnsi="FrankRuehl" w:cs="FrankRuehl" w:hint="cs"/>
          <w:color w:val="000000"/>
          <w:sz w:val="26"/>
          <w:szCs w:val="26"/>
          <w:rtl/>
        </w:rPr>
        <w:t xml:space="preserve"> לשלם לתובע, שכר טרחת עורך דין, בסכום של </w:t>
      </w:r>
      <w:r w:rsidR="008B6EA5">
        <w:rPr>
          <w:rFonts w:ascii="FrankRuehl" w:hAnsi="FrankRuehl" w:cs="FrankRuehl" w:hint="cs"/>
          <w:color w:val="000000"/>
          <w:sz w:val="26"/>
          <w:szCs w:val="26"/>
          <w:rtl/>
        </w:rPr>
        <w:t>7</w:t>
      </w:r>
      <w:r w:rsidR="0037126C">
        <w:rPr>
          <w:rFonts w:ascii="FrankRuehl" w:hAnsi="FrankRuehl" w:cs="FrankRuehl" w:hint="cs"/>
          <w:color w:val="000000"/>
          <w:sz w:val="26"/>
          <w:szCs w:val="26"/>
          <w:rtl/>
        </w:rPr>
        <w:t>5</w:t>
      </w:r>
      <w:r>
        <w:rPr>
          <w:rFonts w:ascii="FrankRuehl" w:hAnsi="FrankRuehl" w:cs="FrankRuehl" w:hint="cs"/>
          <w:color w:val="000000"/>
          <w:sz w:val="26"/>
          <w:szCs w:val="26"/>
          <w:rtl/>
        </w:rPr>
        <w:t xml:space="preserve">,000 ₪. </w:t>
      </w:r>
    </w:p>
    <w:p w:rsidR="00FE2CCA" w:rsidRDefault="00FE2CCA" w:rsidP="00FE2CCA">
      <w:pPr>
        <w:spacing w:after="240" w:line="360" w:lineRule="auto"/>
        <w:jc w:val="both"/>
        <w:rPr>
          <w:rFonts w:ascii="FrankRuehl" w:hAnsi="FrankRuehl" w:cs="FrankRuehl"/>
          <w:color w:val="000000"/>
          <w:sz w:val="26"/>
          <w:szCs w:val="26"/>
          <w:rtl/>
        </w:rPr>
      </w:pPr>
      <w:r>
        <w:rPr>
          <w:rFonts w:ascii="FrankRuehl" w:hAnsi="FrankRuehl" w:cs="FrankRuehl" w:hint="cs"/>
          <w:color w:val="000000"/>
          <w:sz w:val="26"/>
          <w:szCs w:val="26"/>
          <w:rtl/>
        </w:rPr>
        <w:t>ניתן לפרסום ללא פרטים מזהים.</w:t>
      </w:r>
    </w:p>
    <w:p w:rsidR="004E5A00" w:rsidRPr="00FE2CCA" w:rsidRDefault="00FE2CCA" w:rsidP="00FE2CCA">
      <w:pPr>
        <w:spacing w:after="240" w:line="360" w:lineRule="auto"/>
        <w:jc w:val="both"/>
        <w:rPr>
          <w:rFonts w:ascii="FrankRuehl" w:hAnsi="FrankRuehl" w:cs="FrankRuehl"/>
          <w:color w:val="000000"/>
          <w:sz w:val="26"/>
          <w:szCs w:val="26"/>
          <w:rtl/>
        </w:rPr>
      </w:pPr>
      <w:r>
        <w:rPr>
          <w:rFonts w:ascii="FrankRuehl" w:hAnsi="FrankRuehl" w:cs="FrankRuehl" w:hint="cs"/>
          <w:color w:val="000000"/>
          <w:sz w:val="26"/>
          <w:szCs w:val="26"/>
          <w:rtl/>
        </w:rPr>
        <w:t xml:space="preserve">תואיל המזכירות </w:t>
      </w:r>
      <w:r w:rsidRPr="00FE2CCA">
        <w:rPr>
          <w:rFonts w:ascii="FrankRuehl" w:hAnsi="FrankRuehl" w:cs="FrankRuehl" w:hint="cs"/>
          <w:color w:val="000000"/>
          <w:sz w:val="26"/>
          <w:szCs w:val="26"/>
          <w:u w:val="single"/>
          <w:rtl/>
        </w:rPr>
        <w:t>לסגור</w:t>
      </w:r>
      <w:r>
        <w:rPr>
          <w:rFonts w:ascii="FrankRuehl" w:hAnsi="FrankRuehl" w:cs="FrankRuehl" w:hint="cs"/>
          <w:color w:val="000000"/>
          <w:sz w:val="26"/>
          <w:szCs w:val="26"/>
          <w:rtl/>
        </w:rPr>
        <w:t xml:space="preserve"> את התיק.</w:t>
      </w:r>
      <w:r w:rsidR="005F36F7" w:rsidRPr="00FE2CCA">
        <w:rPr>
          <w:rFonts w:ascii="FrankRuehl" w:hAnsi="FrankRuehl" w:cs="FrankRuehl" w:hint="cs"/>
          <w:color w:val="000000"/>
          <w:sz w:val="26"/>
          <w:szCs w:val="26"/>
          <w:rtl/>
        </w:rPr>
        <w:t xml:space="preserve"> </w:t>
      </w:r>
    </w:p>
    <w:p w:rsidR="00AF121B" w:rsidRDefault="00AF121B" w:rsidP="00AF121B">
      <w:pPr>
        <w:spacing w:after="240" w:line="360" w:lineRule="auto"/>
        <w:jc w:val="both"/>
        <w:rPr>
          <w:rFonts w:ascii="FrankRuehl" w:hAnsi="FrankRuehl" w:cs="FrankRuehl"/>
          <w:color w:val="000000"/>
          <w:sz w:val="26"/>
          <w:szCs w:val="26"/>
          <w:rtl/>
        </w:rPr>
      </w:pPr>
    </w:p>
    <w:p w:rsidR="00AF121B" w:rsidRDefault="008245E0" w:rsidP="008245E0">
      <w:pPr>
        <w:tabs>
          <w:tab w:val="left" w:pos="2175"/>
        </w:tabs>
        <w:spacing w:after="240" w:line="360" w:lineRule="auto"/>
        <w:jc w:val="both"/>
        <w:rPr>
          <w:rFonts w:ascii="FrankRuehl" w:hAnsi="FrankRuehl" w:cs="FrankRuehl"/>
          <w:color w:val="000000"/>
          <w:sz w:val="26"/>
          <w:szCs w:val="26"/>
          <w:rtl/>
        </w:rPr>
      </w:pPr>
      <w:r>
        <w:rPr>
          <w:rFonts w:ascii="FrankRuehl" w:hAnsi="FrankRuehl" w:cs="FrankRuehl"/>
          <w:color w:val="000000"/>
          <w:sz w:val="26"/>
          <w:szCs w:val="26"/>
          <w:rtl/>
        </w:rPr>
        <w:tab/>
      </w:r>
    </w:p>
    <w:p w:rsidR="00AF121B" w:rsidRPr="00AF121B" w:rsidRDefault="00AF121B" w:rsidP="00AF121B">
      <w:pPr>
        <w:spacing w:after="240" w:line="360" w:lineRule="auto"/>
        <w:jc w:val="both"/>
        <w:rPr>
          <w:rFonts w:ascii="FrankRuehl" w:hAnsi="FrankRuehl" w:cs="FrankRuehl"/>
          <w:color w:val="000000"/>
          <w:sz w:val="26"/>
          <w:szCs w:val="26"/>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ט' חשוון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24 אוקטובר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FE07F1">
      <w:pPr>
        <w:spacing w:line="360" w:lineRule="auto"/>
        <w:ind w:left="3600" w:firstLine="720"/>
        <w:jc w:val="both"/>
      </w:pPr>
      <w:sdt>
        <w:sdtPr>
          <w:rPr>
            <w:rtl/>
          </w:rPr>
          <w:alias w:val="MergeField"/>
          <w:tag w:val="1237"/>
          <w:id w:val="506563268"/>
        </w:sdtPr>
        <w:sdtEndPr/>
        <w:sdtContent>
          <w:r w:rsidR="008245E0">
            <w:drawing>
              <wp:inline distT="0" distB="0" distL="0" distR="0" wp14:editId="50D07946">
                <wp:extent cx="1304925" cy="619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304925" cy="6191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5"/>
      <w:footerReference w:type="defaul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7F1" w:rsidRDefault="00FE07F1">
      <w:r>
        <w:separator/>
      </w:r>
    </w:p>
  </w:endnote>
  <w:endnote w:type="continuationSeparator" w:id="0">
    <w:p w:rsidR="00FE07F1" w:rsidRDefault="00FE0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719A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719A3">
      <w:rPr>
        <w:rStyle w:val="ab"/>
        <w:rtl/>
      </w:rPr>
      <w:t>16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7F1" w:rsidRDefault="00FE07F1">
      <w:r>
        <w:separator/>
      </w:r>
    </w:p>
  </w:footnote>
  <w:footnote w:type="continuationSeparator" w:id="0">
    <w:p w:rsidR="00FE07F1" w:rsidRDefault="00FE07F1">
      <w:r>
        <w:continuationSeparator/>
      </w:r>
    </w:p>
  </w:footnote>
  <w:footnote w:id="1">
    <w:p w:rsidR="00CC28DF" w:rsidRDefault="00CC28DF" w:rsidP="006100ED">
      <w:pPr>
        <w:pStyle w:val="ae"/>
        <w:ind w:left="141" w:hanging="141"/>
        <w:rPr>
          <w:rtl/>
        </w:rPr>
      </w:pPr>
      <w:r>
        <w:rPr>
          <w:rStyle w:val="af0"/>
        </w:rPr>
        <w:footnoteRef/>
      </w:r>
      <w:r>
        <w:rPr>
          <w:rtl/>
        </w:rPr>
        <w:t xml:space="preserve"> </w:t>
      </w:r>
      <w:r w:rsidR="006100ED">
        <w:rPr>
          <w:rtl/>
        </w:rPr>
        <w:tab/>
      </w:r>
      <w:r>
        <w:rPr>
          <w:rFonts w:hint="cs"/>
          <w:rtl/>
        </w:rPr>
        <w:t xml:space="preserve">הציטוט </w:t>
      </w:r>
      <w:r w:rsidR="006100ED">
        <w:rPr>
          <w:rFonts w:hint="cs"/>
          <w:rtl/>
        </w:rPr>
        <w:t xml:space="preserve">בעברית </w:t>
      </w:r>
      <w:r>
        <w:rPr>
          <w:rFonts w:hint="cs"/>
          <w:rtl/>
        </w:rPr>
        <w:t>ה</w:t>
      </w:r>
      <w:r w:rsidR="006100ED">
        <w:rPr>
          <w:rFonts w:hint="cs"/>
          <w:rtl/>
        </w:rPr>
        <w:t>וא</w:t>
      </w:r>
      <w:r>
        <w:rPr>
          <w:rFonts w:hint="cs"/>
          <w:rtl/>
        </w:rPr>
        <w:t xml:space="preserve"> מתרגומו של ההסכם</w:t>
      </w:r>
      <w:r w:rsidR="00683E8F">
        <w:rPr>
          <w:rFonts w:hint="cs"/>
          <w:rtl/>
        </w:rPr>
        <w:t>,</w:t>
      </w:r>
      <w:r>
        <w:rPr>
          <w:rFonts w:hint="cs"/>
          <w:rtl/>
        </w:rPr>
        <w:t xml:space="preserve"> בנספח 1 לתצהיר התובע, עליו הנתבעת לא חלקה.</w:t>
      </w:r>
      <w:r w:rsidR="006100ED">
        <w:rPr>
          <w:rFonts w:hint="cs"/>
          <w:rtl/>
        </w:rPr>
        <w:t xml:space="preserve"> פסק הדין נכתב על בסיס המקור באנגלית.</w:t>
      </w:r>
    </w:p>
  </w:footnote>
  <w:footnote w:id="2">
    <w:p w:rsidR="00B55ED8" w:rsidRDefault="00B55ED8" w:rsidP="00A007E4">
      <w:pPr>
        <w:pStyle w:val="ae"/>
        <w:ind w:left="141" w:hanging="141"/>
        <w:rPr>
          <w:rtl/>
        </w:rPr>
      </w:pPr>
      <w:r>
        <w:rPr>
          <w:rStyle w:val="af0"/>
        </w:rPr>
        <w:footnoteRef/>
      </w:r>
      <w:r>
        <w:rPr>
          <w:rtl/>
        </w:rPr>
        <w:t xml:space="preserve"> </w:t>
      </w:r>
      <w:r w:rsidR="006100ED">
        <w:rPr>
          <w:rtl/>
        </w:rPr>
        <w:tab/>
      </w:r>
      <w:r w:rsidR="0026406F">
        <w:rPr>
          <w:rFonts w:hint="cs"/>
          <w:rtl/>
        </w:rPr>
        <w:t>התובע מכונה בהסכם "</w:t>
      </w:r>
      <w:r w:rsidR="0026406F" w:rsidRPr="0026406F">
        <w:rPr>
          <w:b/>
          <w:bCs/>
        </w:rPr>
        <w:t>F</w:t>
      </w:r>
      <w:r w:rsidR="00A007E4">
        <w:rPr>
          <w:b/>
          <w:bCs/>
        </w:rPr>
        <w:t>…</w:t>
      </w:r>
      <w:r w:rsidR="0026406F">
        <w:rPr>
          <w:rFonts w:hint="cs"/>
          <w:rtl/>
        </w:rPr>
        <w:t>", בעוד הנתבעת מכונה "</w:t>
      </w:r>
      <w:r w:rsidR="0026406F" w:rsidRPr="0026406F">
        <w:rPr>
          <w:b/>
          <w:bCs/>
        </w:rPr>
        <w:t>S</w:t>
      </w:r>
      <w:r w:rsidR="00A007E4">
        <w:rPr>
          <w:b/>
          <w:bCs/>
        </w:rPr>
        <w:t>…</w:t>
      </w:r>
      <w:r w:rsidR="0026406F">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FE07F1" w:rsidP="001570FB">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60180-11-22</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ו</w:t>
              </w:r>
              <w:r w:rsidR="001570FB">
                <w:rPr>
                  <w:rFonts w:hint="cs"/>
                  <w:b/>
                  <w:bCs/>
                  <w:noProof w:val="0"/>
                  <w:sz w:val="26"/>
                  <w:szCs w:val="26"/>
                  <w:rtl/>
                </w:rPr>
                <w:t>'</w:t>
              </w:r>
              <w:r w:rsidR="00BD18F5">
                <w:rPr>
                  <w:b/>
                  <w:bCs/>
                  <w:noProof w:val="0"/>
                  <w:sz w:val="26"/>
                  <w:szCs w:val="26"/>
                  <w:rtl/>
                </w:rPr>
                <w:t xml:space="preserve"> נ' ו</w:t>
              </w:r>
              <w:r w:rsidR="001570FB">
                <w:rPr>
                  <w:rFonts w:hint="cs"/>
                  <w:b/>
                  <w:bCs/>
                  <w:noProof w:val="0"/>
                  <w:sz w:val="26"/>
                  <w:szCs w:val="26"/>
                  <w:rtl/>
                </w:rPr>
                <w:t>'</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A41040"/>
    <w:multiLevelType w:val="hybridMultilevel"/>
    <w:tmpl w:val="2B3E7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7A60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7873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78736&amp;lt;/CaseID&amp;gt;_x000d__x000a_        &amp;lt;CaseMonth&amp;gt;11&amp;lt;/CaseMonth&amp;gt;_x000d__x000a_        &amp;lt;CaseYear&amp;gt;2022&amp;lt;/CaseYear&amp;gt;_x000d__x000a_        &amp;lt;CaseNumber&amp;gt;60180&amp;lt;/CaseNumber&amp;gt;_x000d__x000a_        &amp;lt;NumeratorGroupID&amp;gt;1&amp;lt;/NumeratorGroupID&amp;gt;_x000d__x000a_        &amp;lt;CaseName&amp;gt;וולף נ&amp;#39; וולף&amp;lt;/CaseName&amp;gt;_x000d__x000a_        &amp;lt;CourtID&amp;gt;33&amp;lt;/CourtID&amp;gt;_x000d__x000a_        &amp;lt;CaseTypeID&amp;gt;10262&amp;lt;/CaseTypeID&amp;gt;_x000d__x000a_        &amp;lt;CaseInterestID&amp;gt;167&amp;lt;/CaseInterestID&amp;gt;_x000d__x000a_        &amp;lt;CaseJudgeName&amp;gt;שמואל בר יוסף&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0180-11-22&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11-27T16:36:00+02:00&amp;lt;/CaseOpenDate&amp;gt;_x000d__x000a_        &amp;lt;PleaTypeID&amp;gt;4&amp;lt;/PleaTypeID&amp;gt;_x000d__x000a_        &amp;lt;CourtLevelID&amp;gt;1&amp;lt;/CourtLevelID&amp;gt;_x000d__x000a_        &amp;lt;CourtLevelCaseTypeInterestID&amp;gt;1604&amp;lt;/CourtLevelCaseTypeInterestID&amp;gt;_x000d__x000a_        &amp;lt;CaseJudgeFirstName&amp;gt;שמואל&amp;lt;/CaseJudgeFirstName&amp;gt;_x000d__x000a_        &amp;lt;CaseJudgeLastName&amp;gt;בר יוסף&amp;lt;/CaseJudgeLastName&amp;gt;_x000d__x000a_        &amp;lt;JudicalPersonID&amp;gt;022683452@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CaseDesc&amp;gt;הח&amp;#39; על היוועדות חזותית נמסרה לסימה._x000d__x000a_15.6.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78736&amp;lt;/CaseID&amp;gt;_x000d__x000a_        &amp;lt;CaseMonth&amp;gt;11&amp;lt;/CaseMonth&amp;gt;_x000d__x000a_        &amp;lt;CaseYear&amp;gt;2022&amp;lt;/CaseYear&amp;gt;_x000d__x000a_        &amp;lt;CaseNumber&amp;gt;60180&amp;lt;/CaseNumber&amp;gt;_x000d__x000a_        &amp;lt;NumeratorGroupID&amp;gt;1&amp;lt;/NumeratorGroupID&amp;gt;_x000d__x000a_        &amp;lt;CaseName&amp;gt;וולף נ&amp;#39; וולף&amp;lt;/CaseName&amp;gt;_x000d__x000a_        &amp;lt;CourtID&amp;gt;33&amp;lt;/CourtID&amp;gt;_x000d__x000a_        &amp;lt;CaseTypeID&amp;gt;10262&amp;lt;/CaseTypeID&amp;gt;_x000d__x000a_        &amp;lt;CaseInterestID&amp;gt;167&amp;lt;/CaseInterestID&amp;gt;_x000d__x000a_        &amp;lt;CaseJudgeName&amp;gt;שמואל בר יוסף&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0180-11-22&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2-11-27T16:36:00+02:00&amp;lt;/CaseOpenDate&amp;gt;_x000d__x000a_        &amp;lt;PleaTypeID&amp;gt;4&amp;lt;/PleaTypeID&amp;gt;_x000d__x000a_        &amp;lt;CourtLevelID&amp;gt;1&amp;lt;/CourtLevelID&amp;gt;_x000d__x000a_        &amp;lt;CourtLevelCaseTypeInterestID&amp;gt;1604&amp;lt;/CourtLevelCaseTypeInterestID&amp;gt;_x000d__x000a_        &amp;lt;CaseJudgeFirstName&amp;gt;שמואל&amp;lt;/CaseJudgeFirstName&amp;gt;_x000d__x000a_        &amp;lt;CaseJudgeLastName&amp;gt;בר יוסף&amp;lt;/CaseJudgeLastName&amp;gt;_x000d__x000a_        &amp;lt;JudicalPersonID&amp;gt;022683452@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CaseDesc&amp;gt;הח&amp;#39; על היוועדות חזותית נמסרה לסימה._x000d__x000a_15.6.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575082&amp;lt;/DecisionID&amp;gt;_x000d__x000a_        &amp;lt;DecisionName&amp;gt;פסק דין  שניתנה ע&amp;quot;י  שמואל בר יוסף&amp;lt;/DecisionName&amp;gt;_x000d__x000a_        &amp;lt;DecisionStatusID&amp;gt;1&amp;lt;/DecisionStatusID&amp;gt;_x000d__x000a_        &amp;lt;DecisionStatusChangeDate&amp;gt;2023-10-23T14:31:57.597+03:00&amp;lt;/DecisionStatusChangeDate&amp;gt;_x000d__x000a_        &amp;lt;DecisionSignatureDate&amp;gt;2023-10-16T15:46:11.573+03:00&amp;lt;/DecisionSignatureDate&amp;gt;_x000d__x000a_        &amp;lt;DecisionSignatureUserID&amp;gt;022683452@GOV.IL&amp;lt;/DecisionSignatureUserID&amp;gt;_x000d__x000a_        &amp;lt;DecisionCreateDate&amp;gt;2023-10-16T15:51:26.37+03:00&amp;lt;/DecisionCreateDate&amp;gt;_x000d__x000a_        &amp;lt;DecisionChangeDate&amp;gt;2023-10-23T14:31:57.71+03:00&amp;lt;/DecisionChangeDate&amp;gt;_x000d__x000a_        &amp;lt;DecisionChangeUserID&amp;gt;02268345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67338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68345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683452@GOV.IL&amp;lt;/DecisionCreationUserID&amp;gt;_x000d__x000a_        &amp;lt;DecisionDisplayName&amp;gt;פסק דין  שניתנה ע&amp;quot;י  שמואל בר יוסף&amp;lt;/DecisionDisplayName&amp;gt;_x000d__x000a_        &amp;lt;IsScanned&amp;gt;false&amp;lt;/IsScanned&amp;gt;_x000d__x000a_        &amp;lt;DecisionSignatureUserName&amp;gt;שמואל בר יוסף&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5&amp;lt;/DecisionNumberInCase&amp;gt;_x000d__x000a_      &amp;lt;/dt_Decision&amp;gt;_x000d__x000a_      &amp;lt;dt_DecisionCase diffgr:id=&amp;quot;dt_DecisionCase1&amp;quot; msdata:rowOrder=&amp;quot;0&amp;quot;&amp;gt;_x000d__x000a_        &amp;lt;DecisionID&amp;gt;147575082&amp;lt;/DecisionID&amp;gt;_x000d__x000a_        &amp;lt;CaseID&amp;gt;79778736&amp;lt;/CaseID&amp;gt;_x000d__x000a_        &amp;lt;IsOriginal&amp;gt;true&amp;lt;/IsOriginal&amp;gt;_x000d__x000a_        &amp;lt;IsDeleted&amp;gt;false&amp;lt;/IsDeleted&amp;gt;_x000d__x000a_        &amp;lt;CaseName&amp;gt;וולף נ&amp;#39; וולף&amp;lt;/CaseName&amp;gt;_x000d__x000a_        &amp;lt;CaseDisplayIdentifier&amp;gt;60180-11-22 תלה&amp;quot;מ&amp;lt;/CaseDisplayIdentifier&amp;gt;_x000d__x000a_      &amp;lt;/dt_DecisionCase&amp;gt;_x000d__x000a_    &amp;lt;/DecisionDS&amp;gt;_x000d__x000a_  &amp;lt;/diffgr:diffgram&amp;gt;_x000d__x000a_&amp;lt;/DecisionDS&amp;gt;"/>
    <w:docVar w:name="DecisionID" w:val="147575082"/>
    <w:docVar w:name="WordClientAssemblyName" w:val="NGCS.Decision.ClientWordBL"/>
    <w:docVar w:name="WordClientClassName" w:val="NGCS.Decision.ClientWordBL.DecisionClient"/>
  </w:docVars>
  <w:rsids>
    <w:rsidRoot w:val="002914D6"/>
    <w:rsid w:val="000033DE"/>
    <w:rsid w:val="00003973"/>
    <w:rsid w:val="00007ECE"/>
    <w:rsid w:val="00011212"/>
    <w:rsid w:val="00017537"/>
    <w:rsid w:val="000233D2"/>
    <w:rsid w:val="00033970"/>
    <w:rsid w:val="0003641F"/>
    <w:rsid w:val="00054A05"/>
    <w:rsid w:val="000554A7"/>
    <w:rsid w:val="00055889"/>
    <w:rsid w:val="00072162"/>
    <w:rsid w:val="00086CFA"/>
    <w:rsid w:val="00094E86"/>
    <w:rsid w:val="000B06C8"/>
    <w:rsid w:val="000C3366"/>
    <w:rsid w:val="000C3FB1"/>
    <w:rsid w:val="000D0FD3"/>
    <w:rsid w:val="000E1D92"/>
    <w:rsid w:val="000E22BE"/>
    <w:rsid w:val="001042C2"/>
    <w:rsid w:val="00105031"/>
    <w:rsid w:val="001114D2"/>
    <w:rsid w:val="00111F51"/>
    <w:rsid w:val="00123210"/>
    <w:rsid w:val="001373FE"/>
    <w:rsid w:val="00144A9B"/>
    <w:rsid w:val="00145E08"/>
    <w:rsid w:val="001534DB"/>
    <w:rsid w:val="001570FB"/>
    <w:rsid w:val="00162902"/>
    <w:rsid w:val="00175F9A"/>
    <w:rsid w:val="0017784B"/>
    <w:rsid w:val="001932B3"/>
    <w:rsid w:val="001950FD"/>
    <w:rsid w:val="00197A5A"/>
    <w:rsid w:val="001A550C"/>
    <w:rsid w:val="001A59CC"/>
    <w:rsid w:val="001C58C1"/>
    <w:rsid w:val="001C6685"/>
    <w:rsid w:val="001C75AD"/>
    <w:rsid w:val="001D0764"/>
    <w:rsid w:val="001D2102"/>
    <w:rsid w:val="001D3526"/>
    <w:rsid w:val="001E2197"/>
    <w:rsid w:val="001F1C7D"/>
    <w:rsid w:val="001F1ED4"/>
    <w:rsid w:val="001F2CD7"/>
    <w:rsid w:val="00205D3E"/>
    <w:rsid w:val="002115A0"/>
    <w:rsid w:val="00223D4D"/>
    <w:rsid w:val="002330EC"/>
    <w:rsid w:val="00233489"/>
    <w:rsid w:val="002337F9"/>
    <w:rsid w:val="00244D27"/>
    <w:rsid w:val="00247470"/>
    <w:rsid w:val="002536BB"/>
    <w:rsid w:val="0025639D"/>
    <w:rsid w:val="00261251"/>
    <w:rsid w:val="0026406F"/>
    <w:rsid w:val="00265648"/>
    <w:rsid w:val="00270AAF"/>
    <w:rsid w:val="002719A3"/>
    <w:rsid w:val="00274B4B"/>
    <w:rsid w:val="0028237A"/>
    <w:rsid w:val="002832C1"/>
    <w:rsid w:val="00283B87"/>
    <w:rsid w:val="00284450"/>
    <w:rsid w:val="002914D6"/>
    <w:rsid w:val="0029265F"/>
    <w:rsid w:val="002931F4"/>
    <w:rsid w:val="002D7A35"/>
    <w:rsid w:val="002E79F1"/>
    <w:rsid w:val="002F5307"/>
    <w:rsid w:val="003057A9"/>
    <w:rsid w:val="00307A53"/>
    <w:rsid w:val="00310E18"/>
    <w:rsid w:val="00321835"/>
    <w:rsid w:val="003241B7"/>
    <w:rsid w:val="00345107"/>
    <w:rsid w:val="00346C31"/>
    <w:rsid w:val="0035297D"/>
    <w:rsid w:val="003540DB"/>
    <w:rsid w:val="00362F37"/>
    <w:rsid w:val="0037126C"/>
    <w:rsid w:val="003A73EF"/>
    <w:rsid w:val="003C053C"/>
    <w:rsid w:val="003C14CF"/>
    <w:rsid w:val="003D3414"/>
    <w:rsid w:val="003D6F7F"/>
    <w:rsid w:val="0040582D"/>
    <w:rsid w:val="00430FF7"/>
    <w:rsid w:val="00434815"/>
    <w:rsid w:val="00441A78"/>
    <w:rsid w:val="00444F6C"/>
    <w:rsid w:val="00446F11"/>
    <w:rsid w:val="00450F66"/>
    <w:rsid w:val="0045686C"/>
    <w:rsid w:val="004572E0"/>
    <w:rsid w:val="00461962"/>
    <w:rsid w:val="004740BE"/>
    <w:rsid w:val="004916DC"/>
    <w:rsid w:val="004C1119"/>
    <w:rsid w:val="004C38D4"/>
    <w:rsid w:val="004C4251"/>
    <w:rsid w:val="004E5A00"/>
    <w:rsid w:val="004E5E2E"/>
    <w:rsid w:val="004F65CE"/>
    <w:rsid w:val="004F72FB"/>
    <w:rsid w:val="004F7F78"/>
    <w:rsid w:val="005017E9"/>
    <w:rsid w:val="005058B1"/>
    <w:rsid w:val="005106DB"/>
    <w:rsid w:val="00513BB0"/>
    <w:rsid w:val="00514106"/>
    <w:rsid w:val="005212E9"/>
    <w:rsid w:val="00536C31"/>
    <w:rsid w:val="0054513D"/>
    <w:rsid w:val="00552A26"/>
    <w:rsid w:val="00571250"/>
    <w:rsid w:val="00580621"/>
    <w:rsid w:val="00582F2A"/>
    <w:rsid w:val="00594005"/>
    <w:rsid w:val="005A0925"/>
    <w:rsid w:val="005B3757"/>
    <w:rsid w:val="005C6396"/>
    <w:rsid w:val="005D1F90"/>
    <w:rsid w:val="005D257C"/>
    <w:rsid w:val="005D7CD2"/>
    <w:rsid w:val="005E2AD6"/>
    <w:rsid w:val="005E57A2"/>
    <w:rsid w:val="005F36F7"/>
    <w:rsid w:val="005F57C7"/>
    <w:rsid w:val="00605B2D"/>
    <w:rsid w:val="006100ED"/>
    <w:rsid w:val="006116D4"/>
    <w:rsid w:val="00622E50"/>
    <w:rsid w:val="00637FCB"/>
    <w:rsid w:val="00641CFC"/>
    <w:rsid w:val="0064577E"/>
    <w:rsid w:val="00645AB0"/>
    <w:rsid w:val="00654136"/>
    <w:rsid w:val="006559D8"/>
    <w:rsid w:val="00662A29"/>
    <w:rsid w:val="00665D30"/>
    <w:rsid w:val="00666802"/>
    <w:rsid w:val="00675465"/>
    <w:rsid w:val="00677C1C"/>
    <w:rsid w:val="00683E8F"/>
    <w:rsid w:val="0069502F"/>
    <w:rsid w:val="006B5EE3"/>
    <w:rsid w:val="006C4051"/>
    <w:rsid w:val="006C59EF"/>
    <w:rsid w:val="006D0C94"/>
    <w:rsid w:val="006D69D4"/>
    <w:rsid w:val="006E0F8B"/>
    <w:rsid w:val="006E3F06"/>
    <w:rsid w:val="0070798D"/>
    <w:rsid w:val="0073027C"/>
    <w:rsid w:val="007320E8"/>
    <w:rsid w:val="0074789B"/>
    <w:rsid w:val="00751EBD"/>
    <w:rsid w:val="00764A38"/>
    <w:rsid w:val="007918F6"/>
    <w:rsid w:val="00791C48"/>
    <w:rsid w:val="007A3D08"/>
    <w:rsid w:val="007A6642"/>
    <w:rsid w:val="007A7B2A"/>
    <w:rsid w:val="007B585B"/>
    <w:rsid w:val="007C02EA"/>
    <w:rsid w:val="007C1077"/>
    <w:rsid w:val="007C6BD7"/>
    <w:rsid w:val="007D3ABA"/>
    <w:rsid w:val="007D4AFB"/>
    <w:rsid w:val="00801F12"/>
    <w:rsid w:val="00806FF2"/>
    <w:rsid w:val="00810638"/>
    <w:rsid w:val="00816269"/>
    <w:rsid w:val="00822AA5"/>
    <w:rsid w:val="008245E0"/>
    <w:rsid w:val="00827FD4"/>
    <w:rsid w:val="0083214E"/>
    <w:rsid w:val="0083364A"/>
    <w:rsid w:val="00844A5F"/>
    <w:rsid w:val="008462A0"/>
    <w:rsid w:val="00847DAD"/>
    <w:rsid w:val="00856158"/>
    <w:rsid w:val="008936BE"/>
    <w:rsid w:val="00896571"/>
    <w:rsid w:val="008A22F5"/>
    <w:rsid w:val="008A4085"/>
    <w:rsid w:val="008B6EA5"/>
    <w:rsid w:val="008F7BA9"/>
    <w:rsid w:val="0090237F"/>
    <w:rsid w:val="00903544"/>
    <w:rsid w:val="0091072C"/>
    <w:rsid w:val="009108D7"/>
    <w:rsid w:val="0091644F"/>
    <w:rsid w:val="00927111"/>
    <w:rsid w:val="009358CA"/>
    <w:rsid w:val="00936D0A"/>
    <w:rsid w:val="009757CA"/>
    <w:rsid w:val="009A3623"/>
    <w:rsid w:val="009A4C80"/>
    <w:rsid w:val="009B3313"/>
    <w:rsid w:val="009D3A88"/>
    <w:rsid w:val="009E7CF4"/>
    <w:rsid w:val="009F298D"/>
    <w:rsid w:val="009F39D5"/>
    <w:rsid w:val="009F46D6"/>
    <w:rsid w:val="00A007E4"/>
    <w:rsid w:val="00A05739"/>
    <w:rsid w:val="00A10EE2"/>
    <w:rsid w:val="00A24EC5"/>
    <w:rsid w:val="00A337CA"/>
    <w:rsid w:val="00A50E7A"/>
    <w:rsid w:val="00A8654B"/>
    <w:rsid w:val="00A9534B"/>
    <w:rsid w:val="00A96E1A"/>
    <w:rsid w:val="00A97CA6"/>
    <w:rsid w:val="00A97E0E"/>
    <w:rsid w:val="00AA0B3B"/>
    <w:rsid w:val="00AA7C12"/>
    <w:rsid w:val="00AF121B"/>
    <w:rsid w:val="00AF730D"/>
    <w:rsid w:val="00B01469"/>
    <w:rsid w:val="00B05712"/>
    <w:rsid w:val="00B132F0"/>
    <w:rsid w:val="00B25AA8"/>
    <w:rsid w:val="00B33030"/>
    <w:rsid w:val="00B4358C"/>
    <w:rsid w:val="00B538C4"/>
    <w:rsid w:val="00B55ED8"/>
    <w:rsid w:val="00B84841"/>
    <w:rsid w:val="00B86349"/>
    <w:rsid w:val="00B90D28"/>
    <w:rsid w:val="00B92627"/>
    <w:rsid w:val="00B94950"/>
    <w:rsid w:val="00B96B66"/>
    <w:rsid w:val="00BA29BA"/>
    <w:rsid w:val="00BB22A3"/>
    <w:rsid w:val="00BC1F6C"/>
    <w:rsid w:val="00BC4B4A"/>
    <w:rsid w:val="00BC66B9"/>
    <w:rsid w:val="00BC7C53"/>
    <w:rsid w:val="00BD18F5"/>
    <w:rsid w:val="00BD38ED"/>
    <w:rsid w:val="00BD58CF"/>
    <w:rsid w:val="00BD5B6B"/>
    <w:rsid w:val="00BE19F4"/>
    <w:rsid w:val="00BE6F1F"/>
    <w:rsid w:val="00BF2143"/>
    <w:rsid w:val="00BF2245"/>
    <w:rsid w:val="00C132C1"/>
    <w:rsid w:val="00C13DB0"/>
    <w:rsid w:val="00C26E31"/>
    <w:rsid w:val="00C302AB"/>
    <w:rsid w:val="00C36420"/>
    <w:rsid w:val="00C40239"/>
    <w:rsid w:val="00C53030"/>
    <w:rsid w:val="00C53640"/>
    <w:rsid w:val="00C64147"/>
    <w:rsid w:val="00C753A3"/>
    <w:rsid w:val="00C80383"/>
    <w:rsid w:val="00C9182A"/>
    <w:rsid w:val="00C931BD"/>
    <w:rsid w:val="00CB3AFB"/>
    <w:rsid w:val="00CB7C00"/>
    <w:rsid w:val="00CC13FB"/>
    <w:rsid w:val="00CC28DF"/>
    <w:rsid w:val="00CD2883"/>
    <w:rsid w:val="00CD5489"/>
    <w:rsid w:val="00CE27E3"/>
    <w:rsid w:val="00CF1D02"/>
    <w:rsid w:val="00CF5D11"/>
    <w:rsid w:val="00D008EA"/>
    <w:rsid w:val="00D0462E"/>
    <w:rsid w:val="00D07BC5"/>
    <w:rsid w:val="00D11E8B"/>
    <w:rsid w:val="00D1521D"/>
    <w:rsid w:val="00D15306"/>
    <w:rsid w:val="00D22A78"/>
    <w:rsid w:val="00D2335D"/>
    <w:rsid w:val="00D23CA7"/>
    <w:rsid w:val="00D358FE"/>
    <w:rsid w:val="00D37CFD"/>
    <w:rsid w:val="00D40244"/>
    <w:rsid w:val="00D41656"/>
    <w:rsid w:val="00D462F1"/>
    <w:rsid w:val="00D50992"/>
    <w:rsid w:val="00D54B3A"/>
    <w:rsid w:val="00D74EC9"/>
    <w:rsid w:val="00D85CD4"/>
    <w:rsid w:val="00DA3D72"/>
    <w:rsid w:val="00DB2050"/>
    <w:rsid w:val="00DC6FE6"/>
    <w:rsid w:val="00DD7F37"/>
    <w:rsid w:val="00DF503E"/>
    <w:rsid w:val="00DF64D1"/>
    <w:rsid w:val="00E0667F"/>
    <w:rsid w:val="00E070B1"/>
    <w:rsid w:val="00E1150D"/>
    <w:rsid w:val="00E23172"/>
    <w:rsid w:val="00E34A7E"/>
    <w:rsid w:val="00E4102D"/>
    <w:rsid w:val="00E51F3E"/>
    <w:rsid w:val="00E6755F"/>
    <w:rsid w:val="00E75E23"/>
    <w:rsid w:val="00E8242C"/>
    <w:rsid w:val="00E9298F"/>
    <w:rsid w:val="00E93BBA"/>
    <w:rsid w:val="00E947CF"/>
    <w:rsid w:val="00EA48D1"/>
    <w:rsid w:val="00EB1386"/>
    <w:rsid w:val="00EB548A"/>
    <w:rsid w:val="00EC0705"/>
    <w:rsid w:val="00EC602D"/>
    <w:rsid w:val="00ED16D1"/>
    <w:rsid w:val="00EF5CDE"/>
    <w:rsid w:val="00F02CCC"/>
    <w:rsid w:val="00F07193"/>
    <w:rsid w:val="00F2166C"/>
    <w:rsid w:val="00F223BB"/>
    <w:rsid w:val="00F233B7"/>
    <w:rsid w:val="00F24CB8"/>
    <w:rsid w:val="00F27239"/>
    <w:rsid w:val="00F308DC"/>
    <w:rsid w:val="00F4325A"/>
    <w:rsid w:val="00F4561F"/>
    <w:rsid w:val="00F50E07"/>
    <w:rsid w:val="00F706EB"/>
    <w:rsid w:val="00F735E6"/>
    <w:rsid w:val="00F90BDA"/>
    <w:rsid w:val="00F9297D"/>
    <w:rsid w:val="00F975DA"/>
    <w:rsid w:val="00FA7A0B"/>
    <w:rsid w:val="00FC3D4E"/>
    <w:rsid w:val="00FC4D9F"/>
    <w:rsid w:val="00FC529F"/>
    <w:rsid w:val="00FE07F1"/>
    <w:rsid w:val="00FE2CCA"/>
    <w:rsid w:val="00FF3398"/>
    <w:rsid w:val="00FF7A2A"/>
    <w:rsid w:val="00FF7FF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8843D7-2EEF-4C10-93D3-1358DBF1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F2166C"/>
    <w:pPr>
      <w:ind w:left="720"/>
      <w:contextualSpacing/>
    </w:pPr>
  </w:style>
  <w:style w:type="paragraph" w:styleId="ae">
    <w:name w:val="footnote text"/>
    <w:basedOn w:val="a"/>
    <w:link w:val="af"/>
    <w:semiHidden/>
    <w:unhideWhenUsed/>
    <w:rsid w:val="00CC28DF"/>
    <w:rPr>
      <w:sz w:val="20"/>
      <w:szCs w:val="20"/>
    </w:rPr>
  </w:style>
  <w:style w:type="character" w:customStyle="1" w:styleId="af">
    <w:name w:val="טקסט הערת שוליים תו"/>
    <w:basedOn w:val="a0"/>
    <w:link w:val="ae"/>
    <w:semiHidden/>
    <w:rsid w:val="00CC28DF"/>
    <w:rPr>
      <w:rFonts w:cs="David"/>
      <w:noProof/>
    </w:rPr>
  </w:style>
  <w:style w:type="character" w:styleId="af0">
    <w:name w:val="footnote reference"/>
    <w:basedOn w:val="a0"/>
    <w:semiHidden/>
    <w:unhideWhenUsed/>
    <w:rsid w:val="00CC28DF"/>
    <w:rPr>
      <w:vertAlign w:val="superscript"/>
    </w:rPr>
  </w:style>
  <w:style w:type="character" w:styleId="Hyperlink">
    <w:name w:val="Hyperlink"/>
    <w:basedOn w:val="a0"/>
    <w:uiPriority w:val="99"/>
    <w:semiHidden/>
    <w:unhideWhenUsed/>
    <w:rsid w:val="00003973"/>
    <w:rPr>
      <w:color w:val="0000FF"/>
      <w:u w:val="single"/>
    </w:rPr>
  </w:style>
  <w:style w:type="paragraph" w:customStyle="1" w:styleId="af1">
    <w:name w:val="סטנוגרמה"/>
    <w:basedOn w:val="a"/>
    <w:rsid w:val="00BC4B4A"/>
    <w:pPr>
      <w:widowControl w:val="0"/>
      <w:pBdr>
        <w:right w:val="double" w:sz="6" w:space="1" w:color="auto"/>
      </w:pBdr>
      <w:spacing w:line="480" w:lineRule="atLeast"/>
      <w:ind w:left="1701" w:hanging="1701"/>
    </w:pPr>
    <w:rPr>
      <w:noProof w:val="0"/>
      <w:spacing w:val="2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5612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1887" TargetMode="Externa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nevo.co.il/law/71887/3.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3D7AAE"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3D7AAE"/>
    <w:rsid w:val="0047636C"/>
    <w:rsid w:val="0063548C"/>
    <w:rsid w:val="006D467C"/>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תרגומי איכות - ת"א - MGSL - שירותי שפה</FullName>
        <LastName>תרגומי איכות - ת"א - MGSL - שירותי שפה</LastName>
        <PartyPropertyName/>
        <AuthenticationTypeAndNumber>חברות חוץ 520040487</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254418162</CasePartyID>
        <PartyTypeID>3</PartyTypeID>
        <ActivityStatusID>1</ActivityStatusID>
        <LegalEntityID>75766187</LegalEntityID>
        <CaseLegalEntityID>123961875</CaseLegalEntityID>
        <AssistantRoleID>33</AssistantRoleID>
        <AuthenticationTypeID>16</AuthenticationTypeID>
        <AuthenticationTypeName>חברות חוץ</AuthenticationTypeName>
        <LegalEntityNumber>520040487</LegalEntityNumber>
        <IsMainPartyType>true</IsMainPartyType>
        <CaseDisplayIdentifier>60180-11-22</CaseDisplayIdentifier>
        <CaseTypeID>10262</CaseTypeID>
        <CaseTypeName>תביעה לאחר הסדר התדיינויות במשפחה (תלה"מ)</CaseTypeName>
        <CaseName>וולף נ' וולף</CaseName>
        <FullAddress>המפלסים 17 פתח תקווה קרית אריה</FullAddress>
        <EmailAddress>svetlanab@mgsl.co.il</EmailAddress>
        <MotionID>0</MotionID>
        <CasePleaID>0</CasePleaID>
        <LinkedCaseID>0</LinkedCaseID>
        <PartyID>1</PartyID>
        <CasePartyCategoryID>2</CasePartyCategoryID>
        <LegalEntityAddressID>79055422</LegalEntityAddressID>
        <LegalEntityEmailAddressID>68001172</LegalEntityEmailAddressID>
        <PleaTypeID>4</PleaTypeID>
        <GroupPartyAlias/>
        <IsConverted>false</IsConverted>
        <LegalEntityRegisteredNameID>5667823</LegalEntityRegisteredNameID>
        <RepresentatedNamesOfAssistant/>
        <LegalEntityTypeID>3</LegalEntityTypeID>
        <IsVerdictExists>false</IsVerdictExists>
        <IsAsirAzir>false</IsAsirAzir>
        <IsPublicationProhibited>false</IsPublicationProhibited>
        <PublicationProhibitedFullName>תרגומי איכות - ת"א - MGSL - שירותי שפה</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פרופ' אבי שמחון</FullName>
        <FirstName>פרופ' אבי</FirstName>
        <LastName>שמחון</LastName>
        <PartyPropertyName/>
        <AuthenticationTypeAndNumber>ת"ז </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257298732</CasePartyID>
        <PartyTypeID>4</PartyTypeID>
        <ActivityStatusID>1</ActivityStatusID>
        <PartyAliasID>61</PartyAliasID>
        <PartyAliasName>עד תביעה</PartyAliasName>
        <LegalEntityID>81291658</LegalEntityID>
        <CaseLegalEntityID>124851081</CaseLegalEntityID>
        <AuthenticationTypeID>1</AuthenticationTypeID>
        <AuthenticationTypeName>ת"ז</AuthenticationTypeName>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LinkedCaseID>0</LinkedCaseID>
        <PartyID>1</PartyID>
        <CasePartyCategoryID>2</CasePartyCategoryID>
        <PleaTypeID>4</PleaTypeID>
        <GroupPartyAlias/>
        <IsConverted>false</IsConverted>
        <LegalEntityNameID>95054453</LegalEntityNameID>
        <RepresentatedNamesOfAssistant/>
        <LegalEntityTypeID>1</LegalEntityTypeID>
        <IsVerdictExists>false</IsVerdictExists>
        <IsAsirAzir>false</IsAsirAzir>
        <IsPublicationProhibited>false</IsPublicationProhibited>
        <PublicationProhibitedFullName>פרופ' אבי שמחון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אלי אלישר</FullName>
        <FirstName>אלי</FirstName>
        <LastName>אלישר</LastName>
        <PartyPropertyName/>
        <AuthenticationTypeAndNumber>ת"ז </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257298772</CasePartyID>
        <PartyTypeID>4</PartyTypeID>
        <ActivityStatusID>1</ActivityStatusID>
        <PartyAliasID>61</PartyAliasID>
        <PartyAliasName>עד תביעה</PartyAliasName>
        <LegalEntityID>81291660</LegalEntityID>
        <CaseLegalEntityID>124851088</CaseLegalEntityID>
        <AuthenticationTypeID>1</AuthenticationTypeID>
        <AuthenticationTypeName>ת"ז</AuthenticationTypeName>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LinkedCaseID>0</LinkedCaseID>
        <PartyID>1</PartyID>
        <CasePartyCategoryID>2</CasePartyCategoryID>
        <PleaTypeID>4</PleaTypeID>
        <GroupPartyAlias/>
        <IsConverted>false</IsConverted>
        <LegalEntityNameID>95054456</LegalEntityNameID>
        <RepresentatedNamesOfAssistant/>
        <LegalEntityTypeID>1</LegalEntityTypeID>
        <IsVerdictExists>false</IsVerdictExists>
        <IsAsirAzir>false</IsAsirAzir>
        <IsPublicationProhibited>false</IsPublicationProhibited>
        <PublicationProhibitedFullName>אלי אלישר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אבי לוי</FullName>
        <FirstName>אבי</FirstName>
        <LastName>לוי</LastName>
        <PartyPropertyName/>
        <AuthenticationTypeAndNumber>ת"ז </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257298825</CasePartyID>
        <PartyTypeID>4</PartyTypeID>
        <ActivityStatusID>1</ActivityStatusID>
        <PartyAliasID>61</PartyAliasID>
        <PartyAliasName>עד תביעה</PartyAliasName>
        <LegalEntityID>81291666</LegalEntityID>
        <CaseLegalEntityID>124851110</CaseLegalEntityID>
        <AuthenticationTypeID>1</AuthenticationTypeID>
        <AuthenticationTypeName>ת"ז</AuthenticationTypeName>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LinkedCaseID>0</LinkedCaseID>
        <PartyID>1</PartyID>
        <CasePartyCategoryID>2</CasePartyCategoryID>
        <PleaTypeID>4</PleaTypeID>
        <GroupPartyAlias/>
        <IsConverted>false</IsConverted>
        <LegalEntityNameID>95054466</LegalEntityNameID>
        <RepresentatedNamesOfAssistant/>
        <LegalEntityTypeID>1</LegalEntityTypeID>
        <IsVerdictExists>false</IsVerdictExists>
        <IsAsirAzir>false</IsAsirAzir>
        <IsPublicationProhibited>false</IsPublicationProhibited>
        <PublicationProhibitedFullName>אבי לוי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שי אלקיים</FullName>
        <FirstName>שי</FirstName>
        <LastName>אלקיים</LastName>
        <PartyPropertyName/>
        <AuthenticationTypeAndNumber>ת"ז </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257298903</CasePartyID>
        <PartyTypeID>4</PartyTypeID>
        <ActivityStatusID>1</ActivityStatusID>
        <PartyAliasID>61</PartyAliasID>
        <PartyAliasName>עד תביעה</PartyAliasName>
        <LegalEntityID>81291671</LegalEntityID>
        <CaseLegalEntityID>124851127</CaseLegalEntityID>
        <AuthenticationTypeID>1</AuthenticationTypeID>
        <AuthenticationTypeName>ת"ז</AuthenticationTypeName>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LinkedCaseID>0</LinkedCaseID>
        <PartyID>1</PartyID>
        <CasePartyCategoryID>2</CasePartyCategoryID>
        <PleaTypeID>4</PleaTypeID>
        <GroupPartyAlias/>
        <IsConverted>false</IsConverted>
        <LegalEntityNameID>95054475</LegalEntityNameID>
        <RepresentatedNamesOfAssistant/>
        <LegalEntityTypeID>1</LegalEntityTypeID>
        <IsVerdictExists>false</IsVerdictExists>
        <IsAsirAzir>false</IsAsirAzir>
        <IsPublicationProhibited>false</IsPublicationProhibited>
        <PublicationProhibitedFullName>שי אלקיים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משה רוזנטולר</FullName>
        <FirstName>משה</FirstName>
        <LastName>רוזנטולר</LastName>
        <PartyPropertyName/>
        <AuthenticationTypeAndNumber>ת"ז </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257298932</CasePartyID>
        <PartyTypeID>4</PartyTypeID>
        <ActivityStatusID>1</ActivityStatusID>
        <PartyAliasID>61</PartyAliasID>
        <PartyAliasName>עד תביעה</PartyAliasName>
        <LegalEntityID>81291673</LegalEntityID>
        <CaseLegalEntityID>124851139</CaseLegalEntityID>
        <AuthenticationTypeID>1</AuthenticationTypeID>
        <AuthenticationTypeName>ת"ז</AuthenticationTypeName>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LinkedCaseID>0</LinkedCaseID>
        <PartyID>1</PartyID>
        <CasePartyCategoryID>2</CasePartyCategoryID>
        <PleaTypeID>4</PleaTypeID>
        <GroupPartyAlias/>
        <IsConverted>false</IsConverted>
        <LegalEntityNameID>95054480</LegalEntityNameID>
        <RepresentatedNamesOfAssistant/>
        <LegalEntityTypeID>1</LegalEntityTypeID>
        <IsVerdictExists>false</IsVerdictExists>
        <IsAsirAzir>false</IsAsirAzir>
        <IsPublicationProhibited>false</IsPublicationProhibited>
        <PublicationProhibitedFullName>משה רוזנטולר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עמרי כהן</FullName>
        <FirstName>עמרי</FirstName>
        <LastName>כהן</LastName>
        <PartyPropertyName/>
        <AuthenticationTypeAndNumber>ת"ז </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257298943</CasePartyID>
        <PartyTypeID>4</PartyTypeID>
        <ActivityStatusID>1</ActivityStatusID>
        <PartyAliasID>61</PartyAliasID>
        <PartyAliasName>עד תביעה</PartyAliasName>
        <LegalEntityID>81291675</LegalEntityID>
        <CaseLegalEntityID>124851142</CaseLegalEntityID>
        <AuthenticationTypeID>1</AuthenticationTypeID>
        <AuthenticationTypeName>ת"ז</AuthenticationTypeName>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LinkedCaseID>0</LinkedCaseID>
        <PartyID>1</PartyID>
        <CasePartyCategoryID>2</CasePartyCategoryID>
        <PleaTypeID>4</PleaTypeID>
        <GroupPartyAlias/>
        <IsConverted>false</IsConverted>
        <LegalEntityNameID>95054482</LegalEntityNameID>
        <RepresentatedNamesOfAssistant/>
        <LegalEntityTypeID>1</LegalEntityTypeID>
        <IsVerdictExists>false</IsVerdictExists>
        <IsAsirAzir>false</IsAsirAzir>
        <IsPublicationProhibited>false</IsPublicationProhibited>
        <PublicationProhibitedFullName>עמרי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דפנה זיס</FullName>
        <FirstName>דפנה</FirstName>
        <LastName>זיס</LastName>
        <PartyPropertyName/>
        <AuthenticationTypeAndNumber>מ.ר. 14194</AuthenticationTypeAndNumber>
        <RepresentatedOrRepresentativesNames>קייט צ'י וולף</RepresentatedOrRepresentativesNames>
        <RepresentatedOrRepresentativesCount>1</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249570330</CasePartyID>
        <PartyTypeID>2</PartyTypeID>
        <ActivityStatusID>1</ActivityStatusID>
        <PartyAliasID>21</PartyAliasID>
        <PartyAliasName>בא כוח נתבעים</PartyAliasName>
        <LegalEntityID>396795</LegalEntityID>
        <CaseLegalEntityID>122457069</CaseLegalEntityID>
        <AuthenticationTypeID>4</AuthenticationTypeID>
        <AuthenticationTypeName>מ.ר.</AuthenticationTypeName>
        <LegalEntityNumber>14194</LegalEntityNumber>
        <IsMainPartyType>true</IsMainPartyType>
        <CaseDisplayIdentifier>60180-11-22</CaseDisplayIdentifier>
        <CaseTypeID>10262</CaseTypeID>
        <CaseTypeName>תביעה לאחר הסדר התדיינויות במשפחה (תלה"מ)</CaseTypeName>
        <CaseName>וולף נ' וולף</CaseName>
        <FullAddress>מצדה 7 בני ברק מגדל בסר 4</FullAddress>
        <EmailAddress>dlaw@dafnaziss.com</EmailAddress>
        <MotionID>0</MotionID>
        <CasePleaID>0</CasePleaID>
        <FatherName xml:space="preserve">        </FatherName>
        <LinkedCaseID>0</LinkedCaseID>
        <PartyID>2</PartyID>
        <CasePartyCategoryID>2</CasePartyCategoryID>
        <LegalEntityAddressID>80916918</LegalEntityAddressID>
        <LegalEntityEmailAddressID>67954053</LegalEntityEmailAddressID>
        <PleaTypeID>4</PleaTypeID>
        <LawyerOfficeName>משרד עו"ד: דפנה זיס</LawyerOfficeName>
        <LawyerOfficeID>437439</LawyerOfficeID>
        <GroupPartyAlias/>
        <IsConverted>false</IsConverted>
        <LegalEntityNameID>17779</LegalEntityNameID>
        <RepresentatedNamesOfAssistant/>
        <LegalEntityTypeID>4</LegalEntityTypeID>
        <IsVerdictExists>false</IsVerdictExists>
        <IsAsirAzir>false</IsAsirAzir>
        <IsPublicationProhibited>false</IsPublicationProhibited>
        <PublicationProhibitedFullName>דפנה זיס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יונתן אסף וולף</FullName>
        <FirstName>יונתן</FirstName>
        <LastName>וולף</LastName>
        <PartyPropertyName/>
        <AuthenticationTypeAndNumber>ת"ז 032493603</AuthenticationTypeAndNumber>
        <RepresentatedOrRepresentativesNames>רוברט ליכט פטרן</RepresentatedOrRepresentativesNames>
        <RepresentatedOrRepresentativesCount>1</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248464510</CasePartyID>
        <PartyTypeID>1</PartyTypeID>
        <ActivityStatusID>1</ActivityStatusID>
        <PartyAliasID>1</PartyAliasID>
        <PartyAliasName>תובע</PartyAliasName>
        <OrdinalNumber>1</OrdinalNumber>
        <LegalEntityID>23701795</LegalEntityID>
        <CaseLegalEntityID>122125628</CaseLegalEntityID>
        <AuthenticationTypeID>1</AuthenticationTypeID>
        <AuthenticationTypeName>ת"ז</AuthenticationTypeName>
        <LegalEntityNumber>032493603</LegalEntityNumber>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FatherName>שמואל</FatherName>
        <LinkedCaseID>0</LinkedCaseID>
        <PartyID>1</PartyID>
        <CasePartyCategoryID>2</CasePartyCategoryID>
        <PleaTypeID>4</PleaTypeID>
        <GroupPartyAlias>תובעים</GroupPartyAlias>
        <IsConverted>false</IsConverted>
        <LegalEntityRegisteredNameID>10136037</LegalEntityRegisteredNameID>
        <LegalEntityNameID>94008103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יונתן אסף וולף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רוברט ליכט פטרן</FullName>
        <FirstName>רוברט</FirstName>
        <LastName>ליכט פטרן</LastName>
        <PartyPropertyName/>
        <AuthenticationTypeAndNumber>מ.ר. 25447</AuthenticationTypeAndNumber>
        <RepresentatedOrRepresentativesNames>יונתן אסף וולף</RepresentatedOrRepresentativesNames>
        <RepresentatedOrRepresentativesCount>1</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248464511</CasePartyID>
        <PartyTypeID>2</PartyTypeID>
        <ActivityStatusID>1</ActivityStatusID>
        <PartyAliasID>20</PartyAliasID>
        <PartyAliasName>בא כוח תובעים</PartyAliasName>
        <OrdinalNumber>1</OrdinalNumber>
        <LegalEntityID>402629</LegalEntityID>
        <CaseLegalEntityID>122125629</CaseLegalEntityID>
        <AuthenticationTypeID>4</AuthenticationTypeID>
        <AuthenticationTypeName>מ.ר.</AuthenticationTypeName>
        <LegalEntityNumber>25447</LegalEntityNumber>
        <IsMainPartyType>true</IsMainPartyType>
        <CaseDisplayIdentifier>60180-11-22</CaseDisplayIdentifier>
        <CaseTypeID>10262</CaseTypeID>
        <CaseTypeName>תביעה לאחר הסדר התדיינויות במשפחה (תלה"מ)</CaseTypeName>
        <CaseName>וולף נ' וולף</CaseName>
        <FullAddress>ויסוצקי 14 תל אביב -יפו 62338</FullAddress>
        <EmailAddress>reut@lp-lawoffice.co.il</EmailAddress>
        <MotionID>0</MotionID>
        <CasePleaID>0</CasePleaID>
        <LinkedCaseID>0</LinkedCaseID>
        <PartyID>1</PartyID>
        <CasePartyCategoryID>2</CasePartyCategoryID>
        <LegalEntityAddressID>80438702</LegalEntityAddressID>
        <LegalEntityEmailAddressID>68181856</LegalEntityEmailAddressID>
        <PleaTypeID>4</PleaTypeID>
        <LawyerOfficeName>משרד עו"ד: רוברט ליכט פטרן</LawyerOfficeName>
        <LawyerOfficeID>443273</LawyerOfficeID>
        <GroupPartyAlias/>
        <IsConverted>false</IsConverted>
        <LegalEntityNameID>23613</LegalEntityNameID>
        <RepresentatedNamesOfAssistant/>
        <LegalEntityTypeID>4</LegalEntityTypeID>
        <IsVerdictExists>false</IsVerdictExists>
        <IsAsirAzir>false</IsAsirAzir>
        <IsPublicationProhibited>false</IsPublicationProhibited>
        <PublicationProhibitedFullName>רוברט ליכט פטרן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קייט צ'י וולף</FullName>
        <FirstName>קייט צ'י</FirstName>
        <LastName>וולף</LastName>
        <PartyPropertyName/>
        <AuthenticationTypeAndNumber>דרכון 9180922</AuthenticationTypeAndNumber>
        <RepresentatedOrRepresentativesNames>דפנה זיס</RepresentatedOrRepresentativesNames>
        <RepresentatedOrRepresentativesCount>1</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248464512</CasePartyID>
        <PartyTypeID>1</PartyTypeID>
        <ActivityStatusID>1</ActivityStatusID>
        <PartyAliasID>2</PartyAliasID>
        <PartyAliasName>נתבע</PartyAliasName>
        <OrdinalNumber>1</OrdinalNumber>
        <LegalEntityID>80865883</LegalEntityID>
        <CaseLegalEntityID>122125630</CaseLegalEntityID>
        <AuthenticationTypeID>2</AuthenticationTypeID>
        <AuthenticationTypeName>דרכון</AuthenticationTypeName>
        <LegalEntityNumber>9180922</LegalEntityNumber>
        <IsMainPartyType>true</IsMainPartyType>
        <CaseDisplayIdentifier>60180-11-22</CaseDisplayIdentifier>
        <CaseTypeID>10262</CaseTypeID>
        <CaseTypeName>תביעה לאחר הסדר התדיינויות במשפחה (תלה"מ)</CaseTypeName>
        <CaseName>וולף נ' וולף</CaseName>
        <FullAddress>סינגפור</FullAddress>
        <EmailAddress>qi.huan.kate@gmail.com</EmailAddress>
        <MotionID>0</MotionID>
        <CasePleaID>0</CasePleaID>
        <PassportCountryID>122</PassportCountryID>
        <LinkedCaseID>0</LinkedCaseID>
        <PartyID>2</PartyID>
        <CasePartyCategoryID>2</CasePartyCategoryID>
        <LegalEntityAddressID>87227542</LegalEntityAddressID>
        <LegalEntityEmailAddressID>68221015</LegalEntityEmailAddressID>
        <PleaTypeID>4</PleaTypeID>
        <GroupPartyAlias>נתבעים</GroupPartyAlias>
        <IsConverted>false</IsConverted>
        <LegalEntityNameID>94008104</LegalEntityNameID>
        <RepresentatedNamesOfAssistant/>
        <LegalEntityTypeID>2</LegalEntityTypeID>
        <IsVerdictExists>false</IsVerdictExists>
        <IsAsirAzir>false</IsAsirAzir>
        <IsPublicationProhibited>false</IsPublicationProhibited>
        <PublicationProhibitedFullName>קייט צ'י וולף</PublicationProhibitedFullName>
      </CaseParties>
    </CasePartiesSelectionDS>
    <DecisionName>פסק דין  שניתנה ע"י  שמואל בר יוסף</DecisionName>
    <CourtDisplayName>בית משפט לענייני משפחה בתל אביב -יפו</CourtDisplayName>
    <IsCaseJudgePanel>false</IsCaseJudgePanel>
    <DecisionSignatureDate>2023-10-16T15:46:11.57272+03:00</DecisionSignatureDate>
    <OpenCaseDate>2022-11-27T16:36:00+02:00</OpenCaseDate>
    <CaseFeeSum>0.000</CaseFeeSum>
    <DecisionTypeID>2</DecisionTypeID>
    <DecisionSignatureUserName>שמואל בר יוסף</DecisionSignatureUserName>
    <DecisionSignatureDateHebrew>2023-10-16T15:46:11.57272+03:00</DecisionSignatureDateHebrew>
    <DecisionWriterID>022683452@GOV.IL</DecisionWriterID>
    <CourtAddress>רח' ויצמן 1, תל אביב -יפו 64239</CourtAddress>
    <IsAutoTextInCaseExist>false</IsAutoTextInCaseExist>
    <DecisionSignatureRoleName>שופט</DecisionSignatureRoleName>
    <DecisionSignatureUserTitleName>שופט</DecisionSignatureUserTitleName>
    <CaseName>וולף נ' וולף</CaseName>
    <DecisionNumberInCase>35</DecisionNumberInCase>
  </dt_Decision>
  <dt_DecisionCase>
    <DecisionID>0</DecisionID>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תרגומי איכות - ת"א - MGSL - שירותי שפה</FullName>
        <LastName>תרגומי איכות - ת"א - MGSL - שירותי שפה</LastName>
        <PartyPropertyName/>
        <AuthenticationTypeAndNumber>חברות חוץ 520040487</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254418162</CasePartyID>
        <PartyTypeID>3</PartyTypeID>
        <ActivityStatusID>1</ActivityStatusID>
        <LegalEntityID>75766187</LegalEntityID>
        <CaseLegalEntityID>123961875</CaseLegalEntityID>
        <AssistantRoleID>33</AssistantRoleID>
        <AuthenticationTypeID>16</AuthenticationTypeID>
        <AuthenticationTypeName>חברות חוץ</AuthenticationTypeName>
        <LegalEntityNumber>520040487</LegalEntityNumber>
        <IsMainPartyType>true</IsMainPartyType>
        <CaseDisplayIdentifier>60180-11-22</CaseDisplayIdentifier>
        <CaseTypeID>10262</CaseTypeID>
        <CaseTypeName>תביעה לאחר הסדר התדיינויות במשפחה (תלה"מ)</CaseTypeName>
        <CaseName>וולף נ' וולף</CaseName>
        <FullAddress>המפלסים 17 פתח תקווה קרית אריה</FullAddress>
        <EmailAddress>svetlanab@mgsl.co.il</EmailAddress>
        <MotionID>0</MotionID>
        <CasePleaID>0</CasePleaID>
        <LinkedCaseID>0</LinkedCaseID>
        <PartyID>1</PartyID>
        <CasePartyCategoryID>2</CasePartyCategoryID>
        <LegalEntityAddressID>79055422</LegalEntityAddressID>
        <LegalEntityEmailAddressID>68001172</LegalEntityEmailAddressID>
        <PleaTypeID>4</PleaTypeID>
        <GroupPartyAlias/>
        <IsConverted>false</IsConverted>
        <LegalEntityRegisteredNameID>5667823</LegalEntityRegisteredNameID>
        <RepresentatedNamesOfAssistant/>
        <LegalEntityTypeID>3</LegalEntityTypeID>
        <IsVerdictExists>false</IsVerdictExists>
        <IsAsirAzir>false</IsAsirAzir>
        <IsPublicationProhibited>false</IsPublicationProhibited>
        <PublicationProhibitedFullName>תרגומי איכות - ת"א - MGSL - שירותי שפה</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פרופ' אבי שמחון</FullName>
        <FirstName>פרופ' אבי</FirstName>
        <LastName>שמחון</LastName>
        <PartyPropertyName/>
        <AuthenticationTypeAndNumber>ת"ז </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257298732</CasePartyID>
        <PartyTypeID>4</PartyTypeID>
        <ActivityStatusID>1</ActivityStatusID>
        <PartyAliasID>61</PartyAliasID>
        <PartyAliasName>עד תביעה</PartyAliasName>
        <LegalEntityID>81291658</LegalEntityID>
        <CaseLegalEntityID>124851081</CaseLegalEntityID>
        <AuthenticationTypeID>1</AuthenticationTypeID>
        <AuthenticationTypeName>ת"ז</AuthenticationTypeName>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LinkedCaseID>0</LinkedCaseID>
        <PartyID>1</PartyID>
        <CasePartyCategoryID>2</CasePartyCategoryID>
        <PleaTypeID>4</PleaTypeID>
        <GroupPartyAlias/>
        <IsConverted>false</IsConverted>
        <LegalEntityNameID>95054453</LegalEntityNameID>
        <RepresentatedNamesOfAssistant/>
        <LegalEntityTypeID>1</LegalEntityTypeID>
        <IsVerdictExists>false</IsVerdictExists>
        <IsAsirAzir>false</IsAsirAzir>
        <IsPublicationProhibited>false</IsPublicationProhibited>
        <PublicationProhibitedFullName>פרופ' אבי שמחון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אלי אלישר</FullName>
        <FirstName>אלי</FirstName>
        <LastName>אלישר</LastName>
        <PartyPropertyName/>
        <AuthenticationTypeAndNumber>ת"ז </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257298772</CasePartyID>
        <PartyTypeID>4</PartyTypeID>
        <ActivityStatusID>1</ActivityStatusID>
        <PartyAliasID>61</PartyAliasID>
        <PartyAliasName>עד תביעה</PartyAliasName>
        <LegalEntityID>81291660</LegalEntityID>
        <CaseLegalEntityID>124851088</CaseLegalEntityID>
        <AuthenticationTypeID>1</AuthenticationTypeID>
        <AuthenticationTypeName>ת"ז</AuthenticationTypeName>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LinkedCaseID>0</LinkedCaseID>
        <PartyID>1</PartyID>
        <CasePartyCategoryID>2</CasePartyCategoryID>
        <PleaTypeID>4</PleaTypeID>
        <GroupPartyAlias/>
        <IsConverted>false</IsConverted>
        <LegalEntityNameID>95054456</LegalEntityNameID>
        <RepresentatedNamesOfAssistant/>
        <LegalEntityTypeID>1</LegalEntityTypeID>
        <IsVerdictExists>false</IsVerdictExists>
        <IsAsirAzir>false</IsAsirAzir>
        <IsPublicationProhibited>false</IsPublicationProhibited>
        <PublicationProhibitedFullName>אלי אלישר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אבי לוי</FullName>
        <FirstName>אבי</FirstName>
        <LastName>לוי</LastName>
        <PartyPropertyName/>
        <AuthenticationTypeAndNumber>ת"ז </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257298825</CasePartyID>
        <PartyTypeID>4</PartyTypeID>
        <ActivityStatusID>1</ActivityStatusID>
        <PartyAliasID>61</PartyAliasID>
        <PartyAliasName>עד תביעה</PartyAliasName>
        <LegalEntityID>81291666</LegalEntityID>
        <CaseLegalEntityID>124851110</CaseLegalEntityID>
        <AuthenticationTypeID>1</AuthenticationTypeID>
        <AuthenticationTypeName>ת"ז</AuthenticationTypeName>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LinkedCaseID>0</LinkedCaseID>
        <PartyID>1</PartyID>
        <CasePartyCategoryID>2</CasePartyCategoryID>
        <PleaTypeID>4</PleaTypeID>
        <GroupPartyAlias/>
        <IsConverted>false</IsConverted>
        <LegalEntityNameID>95054466</LegalEntityNameID>
        <RepresentatedNamesOfAssistant/>
        <LegalEntityTypeID>1</LegalEntityTypeID>
        <IsVerdictExists>false</IsVerdictExists>
        <IsAsirAzir>false</IsAsirAzir>
        <IsPublicationProhibited>false</IsPublicationProhibited>
        <PublicationProhibitedFullName>אבי לוי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שי אלקיים</FullName>
        <FirstName>שי</FirstName>
        <LastName>אלקיים</LastName>
        <PartyPropertyName/>
        <AuthenticationTypeAndNumber>ת"ז </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257298903</CasePartyID>
        <PartyTypeID>4</PartyTypeID>
        <ActivityStatusID>1</ActivityStatusID>
        <PartyAliasID>61</PartyAliasID>
        <PartyAliasName>עד תביעה</PartyAliasName>
        <LegalEntityID>81291671</LegalEntityID>
        <CaseLegalEntityID>124851127</CaseLegalEntityID>
        <AuthenticationTypeID>1</AuthenticationTypeID>
        <AuthenticationTypeName>ת"ז</AuthenticationTypeName>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LinkedCaseID>0</LinkedCaseID>
        <PartyID>1</PartyID>
        <CasePartyCategoryID>2</CasePartyCategoryID>
        <PleaTypeID>4</PleaTypeID>
        <GroupPartyAlias/>
        <IsConverted>false</IsConverted>
        <LegalEntityNameID>95054475</LegalEntityNameID>
        <RepresentatedNamesOfAssistant/>
        <LegalEntityTypeID>1</LegalEntityTypeID>
        <IsVerdictExists>false</IsVerdictExists>
        <IsAsirAzir>false</IsAsirAzir>
        <IsPublicationProhibited>false</IsPublicationProhibited>
        <PublicationProhibitedFullName>שי אלקיים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משה רוזנטולר</FullName>
        <FirstName>משה</FirstName>
        <LastName>רוזנטולר</LastName>
        <PartyPropertyName/>
        <AuthenticationTypeAndNumber>ת"ז </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257298932</CasePartyID>
        <PartyTypeID>4</PartyTypeID>
        <ActivityStatusID>1</ActivityStatusID>
        <PartyAliasID>61</PartyAliasID>
        <PartyAliasName>עד תביעה</PartyAliasName>
        <LegalEntityID>81291673</LegalEntityID>
        <CaseLegalEntityID>124851139</CaseLegalEntityID>
        <AuthenticationTypeID>1</AuthenticationTypeID>
        <AuthenticationTypeName>ת"ז</AuthenticationTypeName>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LinkedCaseID>0</LinkedCaseID>
        <PartyID>1</PartyID>
        <CasePartyCategoryID>2</CasePartyCategoryID>
        <PleaTypeID>4</PleaTypeID>
        <GroupPartyAlias/>
        <IsConverted>false</IsConverted>
        <LegalEntityNameID>95054480</LegalEntityNameID>
        <RepresentatedNamesOfAssistant/>
        <LegalEntityTypeID>1</LegalEntityTypeID>
        <IsVerdictExists>false</IsVerdictExists>
        <IsAsirAzir>false</IsAsirAzir>
        <IsPublicationProhibited>false</IsPublicationProhibited>
        <PublicationProhibitedFullName>משה רוזנטולר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עמרי כהן</FullName>
        <FirstName>עמרי</FirstName>
        <LastName>כהן</LastName>
        <PartyPropertyName/>
        <AuthenticationTypeAndNumber>ת"ז </AuthenticationTypeAndNumber>
        <RepresentatedOrRepresentativesNames/>
        <RepresentatedOrRepresentativesCount>0</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257298943</CasePartyID>
        <PartyTypeID>4</PartyTypeID>
        <ActivityStatusID>1</ActivityStatusID>
        <PartyAliasID>61</PartyAliasID>
        <PartyAliasName>עד תביעה</PartyAliasName>
        <LegalEntityID>81291675</LegalEntityID>
        <CaseLegalEntityID>124851142</CaseLegalEntityID>
        <AuthenticationTypeID>1</AuthenticationTypeID>
        <AuthenticationTypeName>ת"ז</AuthenticationTypeName>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LinkedCaseID>0</LinkedCaseID>
        <PartyID>1</PartyID>
        <CasePartyCategoryID>2</CasePartyCategoryID>
        <PleaTypeID>4</PleaTypeID>
        <GroupPartyAlias/>
        <IsConverted>false</IsConverted>
        <LegalEntityNameID>95054482</LegalEntityNameID>
        <RepresentatedNamesOfAssistant/>
        <LegalEntityTypeID>1</LegalEntityTypeID>
        <IsVerdictExists>false</IsVerdictExists>
        <IsAsirAzir>false</IsAsirAzir>
        <IsPublicationProhibited>false</IsPublicationProhibited>
        <PublicationProhibitedFullName>עמרי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דפנה זיס</FullName>
        <FirstName>דפנה</FirstName>
        <LastName>זיס</LastName>
        <PartyPropertyName/>
        <AuthenticationTypeAndNumber>מ.ר. 14194</AuthenticationTypeAndNumber>
        <RepresentatedOrRepresentativesNames>קייט צ'י וולף</RepresentatedOrRepresentativesNames>
        <RepresentatedOrRepresentativesCount>1</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249570330</CasePartyID>
        <PartyTypeID>2</PartyTypeID>
        <ActivityStatusID>1</ActivityStatusID>
        <PartyAliasID>21</PartyAliasID>
        <PartyAliasName>בא כוח נתבעים</PartyAliasName>
        <LegalEntityID>396795</LegalEntityID>
        <CaseLegalEntityID>122457069</CaseLegalEntityID>
        <AuthenticationTypeID>4</AuthenticationTypeID>
        <AuthenticationTypeName>מ.ר.</AuthenticationTypeName>
        <LegalEntityNumber>14194</LegalEntityNumber>
        <IsMainPartyType>true</IsMainPartyType>
        <CaseDisplayIdentifier>60180-11-22</CaseDisplayIdentifier>
        <CaseTypeID>10262</CaseTypeID>
        <CaseTypeName>תביעה לאחר הסדר התדיינויות במשפחה (תלה"מ)</CaseTypeName>
        <CaseName>וולף נ' וולף</CaseName>
        <FullAddress>מצדה 7 בני ברק מגדל בסר 4</FullAddress>
        <EmailAddress>dlaw@dafnaziss.com</EmailAddress>
        <MotionID>0</MotionID>
        <CasePleaID>0</CasePleaID>
        <FatherName xml:space="preserve">        </FatherName>
        <LinkedCaseID>0</LinkedCaseID>
        <PartyID>2</PartyID>
        <CasePartyCategoryID>2</CasePartyCategoryID>
        <LegalEntityAddressID>80916918</LegalEntityAddressID>
        <LegalEntityEmailAddressID>67954053</LegalEntityEmailAddressID>
        <PleaTypeID>4</PleaTypeID>
        <LawyerOfficeName>משרד עו"ד: דפנה זיס</LawyerOfficeName>
        <LawyerOfficeID>437439</LawyerOfficeID>
        <GroupPartyAlias/>
        <IsConverted>false</IsConverted>
        <LegalEntityNameID>17779</LegalEntityNameID>
        <RepresentatedNamesOfAssistant/>
        <LegalEntityTypeID>4</LegalEntityTypeID>
        <IsVerdictExists>false</IsVerdictExists>
        <IsAsirAzir>false</IsAsirAzir>
        <IsPublicationProhibited>false</IsPublicationProhibited>
        <PublicationProhibitedFullName>דפנה זיס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יונתן אסף וולף</FullName>
        <FirstName>יונתן</FirstName>
        <LastName>וולף</LastName>
        <PartyPropertyName/>
        <AuthenticationTypeAndNumber>ת"ז 032493603</AuthenticationTypeAndNumber>
        <RepresentatedOrRepresentativesNames>רוברט ליכט פטרן</RepresentatedOrRepresentativesNames>
        <RepresentatedOrRepresentativesCount>1</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248464510</CasePartyID>
        <PartyTypeID>1</PartyTypeID>
        <ActivityStatusID>1</ActivityStatusID>
        <PartyAliasID>1</PartyAliasID>
        <PartyAliasName>תובע</PartyAliasName>
        <OrdinalNumber>1</OrdinalNumber>
        <LegalEntityID>23701795</LegalEntityID>
        <CaseLegalEntityID>122125628</CaseLegalEntityID>
        <AuthenticationTypeID>1</AuthenticationTypeID>
        <AuthenticationTypeName>ת"ז</AuthenticationTypeName>
        <LegalEntityNumber>032493603</LegalEntityNumber>
        <IsMainPartyType>true</IsMainPartyType>
        <CaseDisplayIdentifier>60180-11-22</CaseDisplayIdentifier>
        <CaseTypeID>10262</CaseTypeID>
        <CaseTypeName>תביעה לאחר הסדר התדיינויות במשפחה (תלה"מ)</CaseTypeName>
        <CaseName>וולף נ' וולף</CaseName>
        <FullAddress/>
        <MotionID>0</MotionID>
        <CasePleaID>0</CasePleaID>
        <FatherName>שמואל</FatherName>
        <LinkedCaseID>0</LinkedCaseID>
        <PartyID>1</PartyID>
        <CasePartyCategoryID>2</CasePartyCategoryID>
        <PleaTypeID>4</PleaTypeID>
        <GroupPartyAlias>תובעים</GroupPartyAlias>
        <IsConverted>false</IsConverted>
        <LegalEntityRegisteredNameID>10136037</LegalEntityRegisteredNameID>
        <LegalEntityNameID>94008103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יונתן אסף וולף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רוברט ליכט פטרן</FullName>
        <FirstName>רוברט</FirstName>
        <LastName>ליכט פטרן</LastName>
        <PartyPropertyName/>
        <AuthenticationTypeAndNumber>מ.ר. 25447</AuthenticationTypeAndNumber>
        <RepresentatedOrRepresentativesNames>יונתן אסף וולף</RepresentatedOrRepresentativesNames>
        <RepresentatedOrRepresentativesCount>1</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248464511</CasePartyID>
        <PartyTypeID>2</PartyTypeID>
        <ActivityStatusID>1</ActivityStatusID>
        <PartyAliasID>20</PartyAliasID>
        <PartyAliasName>בא כוח תובעים</PartyAliasName>
        <OrdinalNumber>1</OrdinalNumber>
        <LegalEntityID>402629</LegalEntityID>
        <CaseLegalEntityID>122125629</CaseLegalEntityID>
        <AuthenticationTypeID>4</AuthenticationTypeID>
        <AuthenticationTypeName>מ.ר.</AuthenticationTypeName>
        <LegalEntityNumber>25447</LegalEntityNumber>
        <IsMainPartyType>true</IsMainPartyType>
        <CaseDisplayIdentifier>60180-11-22</CaseDisplayIdentifier>
        <CaseTypeID>10262</CaseTypeID>
        <CaseTypeName>תביעה לאחר הסדר התדיינויות במשפחה (תלה"מ)</CaseTypeName>
        <CaseName>וולף נ' וולף</CaseName>
        <FullAddress>ויסוצקי 14 תל אביב -יפו 62338</FullAddress>
        <EmailAddress>reut@lp-lawoffice.co.il</EmailAddress>
        <MotionID>0</MotionID>
        <CasePleaID>0</CasePleaID>
        <LinkedCaseID>0</LinkedCaseID>
        <PartyID>1</PartyID>
        <CasePartyCategoryID>2</CasePartyCategoryID>
        <LegalEntityAddressID>80438702</LegalEntityAddressID>
        <LegalEntityEmailAddressID>68181856</LegalEntityEmailAddressID>
        <PleaTypeID>4</PleaTypeID>
        <LawyerOfficeName>משרד עו"ד: רוברט ליכט פטרן</LawyerOfficeName>
        <LawyerOfficeID>443273</LawyerOfficeID>
        <GroupPartyAlias/>
        <IsConverted>false</IsConverted>
        <LegalEntityNameID>23613</LegalEntityNameID>
        <RepresentatedNamesOfAssistant/>
        <LegalEntityTypeID>4</LegalEntityTypeID>
        <IsVerdictExists>false</IsVerdictExists>
        <IsAsirAzir>false</IsAsirAzir>
        <IsPublicationProhibited>false</IsPublicationProhibited>
        <PublicationProhibitedFullName>רוברט ליכט פטרן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קייט צ'י וולף</FullName>
        <FirstName>קייט צ'י</FirstName>
        <LastName>וולף</LastName>
        <PartyPropertyName/>
        <AuthenticationTypeAndNumber>דרכון 9180922</AuthenticationTypeAndNumber>
        <RepresentatedOrRepresentativesNames>דפנה זיס</RepresentatedOrRepresentativesNames>
        <RepresentatedOrRepresentativesCount>1</RepresentatedOrRepresentativesCount>
        <InvitedBy/>
        <CaseID>79778736</CaseID>
        <CaseJudicialPersonPresentationDS>
          <CaseJudicalPersonActive>
            <CaseID>79778736</CaseID>
            <JudicialPersonID>022683452@GOV.IL</JudicialPersonID>
            <JudicialPersonTypeID>1</JudicialPersonTypeID>
            <JudicialTypeID>1</JudicialTypeID>
            <IsChairman>false</IsChairman>
            <TreatmentStartDate>2022-11-28T08:55:40.357+02:00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248464512</CasePartyID>
        <PartyTypeID>1</PartyTypeID>
        <ActivityStatusID>1</ActivityStatusID>
        <PartyAliasID>2</PartyAliasID>
        <PartyAliasName>נתבע</PartyAliasName>
        <OrdinalNumber>1</OrdinalNumber>
        <LegalEntityID>80865883</LegalEntityID>
        <CaseLegalEntityID>122125630</CaseLegalEntityID>
        <AuthenticationTypeID>2</AuthenticationTypeID>
        <AuthenticationTypeName>דרכון</AuthenticationTypeName>
        <LegalEntityNumber>9180922</LegalEntityNumber>
        <IsMainPartyType>true</IsMainPartyType>
        <CaseDisplayIdentifier>60180-11-22</CaseDisplayIdentifier>
        <CaseTypeID>10262</CaseTypeID>
        <CaseTypeName>תביעה לאחר הסדר התדיינויות במשפחה (תלה"מ)</CaseTypeName>
        <CaseName>וולף נ' וולף</CaseName>
        <FullAddress>סינגפור</FullAddress>
        <EmailAddress>qi.huan.kate@gmail.com</EmailAddress>
        <MotionID>0</MotionID>
        <CasePleaID>0</CasePleaID>
        <PassportCountryID>122</PassportCountryID>
        <LinkedCaseID>0</LinkedCaseID>
        <PartyID>2</PartyID>
        <CasePartyCategoryID>2</CasePartyCategoryID>
        <LegalEntityAddressID>87227542</LegalEntityAddressID>
        <LegalEntityEmailAddressID>68221015</LegalEntityEmailAddressID>
        <PleaTypeID>4</PleaTypeID>
        <GroupPartyAlias>נתבעים</GroupPartyAlias>
        <IsConverted>false</IsConverted>
        <LegalEntityNameID>94008104</LegalEntityNameID>
        <RepresentatedNamesOfAssistant/>
        <LegalEntityTypeID>2</LegalEntityTypeID>
        <IsVerdictExists>false</IsVerdictExists>
        <IsAsirAzir>false</IsAsirAzir>
        <IsPublicationProhibited>false</IsPublicationProhibited>
        <PublicationProhibitedFullName>קייט צ'י וולף</PublicationProhibitedFullName>
      </CaseParties>
    </CasePartiesSelectionDS>
    <CaseName>וולף נ' וולף</CaseName>
    <CaseDisplayIdentifier>60180-11-22</CaseDisplayIdentifier>
    <CaseInterestID>167</CaseInterestID>
    <CaseTypeShortName>תלה"מ</CaseTypeShortName>
  </dt_DecisionCase>
  <dt_DecisionJudgePanel>
    <JudgeID>022683452@GOV.IL</JudgeID>
    <DisplayName>שמואל בר יוסף</DisplayName>
    <RoleName>שופט</RoleName>
    <UserTitleName>שופט</UserTitleName>
  </dt_DecisionJudgePanel>
  <dt_LegalEntityDetails>
    <Fax>03-6139966</Fax>
    <Phone>03-7366769</Phone>
    <AddressDesc>מגדל בסר 4</AddressDesc>
    <PartyID>2</PartyID>
    <PartyTypeID>2</PartyTypeID>
    <DecisionID>0</DecisionID>
    <StreetName>מצדה 7</StreetName>
    <ZipCode>5126112</ZipCode>
    <CityName>בני ברק</CityName>
    <FullName>דפנה זיס</FullName>
    <Email>dlaw@dafnaziss.com</Email>
    <IsPublicationProhibited>false</IsPublicationProhibited>
  </dt_LegalEntityDetails>
  <dt_LegalEntityDetails>
    <Fax>03-5358233</Fax>
    <Phone/>
    <AddressDesc>קרית אריה</AddressDesc>
    <PartyID>1</PartyID>
    <PartyTypeID>3</PartyTypeID>
    <DecisionID>0</DecisionID>
    <AssistantRoleID>33</AssistantRoleID>
    <StreetName>המפלסים 17</StreetName>
    <ZipCode>4951489</ZipCode>
    <CityName>פתח תקווה</CityName>
    <FullName> תרגומי איכות - ת"א - MGSL - שירותי שפה</FullName>
    <Email>svetlanab@mgsl.co.il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FullName>יונתן אסף  וולף</FullName>
    <IsPublicationProhibited>false</IsPublicationProhibited>
  </dt_LegalEntityDetails>
  <dt_LegalEntityDetails>
    <Fax>03-9744920</Fax>
    <Phone>03-9744900</Phone>
    <AddressDesc>62338</AddressDesc>
    <PartyID>1</PartyID>
    <PartyTypeID>2</PartyTypeID>
    <DecisionID>0</DecisionID>
    <StreetName>ויסוצקי 14</StreetName>
    <ZipCode>6233807</ZipCode>
    <CityName>תל אביב -יפו</CityName>
    <FullName>רוברט ליכט פטרן</FullName>
    <Email>reut@lp-lawoffice.co.il</Email>
    <IsPublicationProhibited>false</IsPublicationProhibited>
  </dt_LegalEntityDetails>
  <dt_LegalEntityDetails>
    <AddressDesc>סינגפור</AddressDesc>
    <PartyID>2</PartyID>
    <PartyTypeID>1</PartyTypeID>
    <DecisionID>0</DecisionID>
    <FullName>קייט צ'י וולף</FullName>
    <Email>qi.huan.kate@gmail.com</Email>
    <IsPublicationProhibited>false</IsPublicationProhibited>
  </dt_LegalEntityDetails>
  <dt_CaseJudicalPersonActive>
    <CaseJudicalPerson>שופט שמואל בר יוסף</CaseJudicalPerson>
  </dt_CaseJudicalPersonActive>
  <dt_Sitting>
    <PreviousMeetingDate>2023-06-22T09:00:00+03:00</PreviousMeetingDate>
    <PreviousSittingTypeID>2</PreviousSittingTypeID>
    <PreviousMeetingDisplayName>שופט שמואל בר יוסף</PreviousMeetingDisplayName>
    <PreviousMeetingRoleName>שופט</PreviousMeetingRoleName>
    <PreviousMeetingUserTitleName>שופט</PreviousMeetingUserTitleName>
    <PreviousMeetingUserUPN>022683452@GOV.IL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C59F0-4C41-4A44-B418-247DFFF43681}">
  <ds:schemaRefs/>
</ds:datastoreItem>
</file>

<file path=customXml/itemProps2.xml><?xml version="1.0" encoding="utf-8"?>
<ds:datastoreItem xmlns:ds="http://schemas.openxmlformats.org/officeDocument/2006/customXml" ds:itemID="{B359660D-5858-40D0-947F-FD25F8905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4562</Words>
  <Characters>22815</Characters>
  <Application>Microsoft Office Word</Application>
  <DocSecurity>0</DocSecurity>
  <Lines>190</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2023-10-24T10:13:00Z</cp:lastPrinted>
  <dcterms:created xsi:type="dcterms:W3CDTF">2023-11-30T07:42:00Z</dcterms:created>
  <dcterms:modified xsi:type="dcterms:W3CDTF">2023-11-30T07:42:00Z</dcterms:modified>
</cp:coreProperties>
</file>